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ED22" w14:textId="276DAAD7" w:rsidR="00B357EF" w:rsidRDefault="00784D92" w:rsidP="002F0998">
      <w:pPr>
        <w:ind w:right="141"/>
        <w:jc w:val="center"/>
        <w:rPr>
          <w:b/>
          <w:bCs/>
          <w:szCs w:val="24"/>
          <w:lang w:eastAsia="x-none"/>
        </w:rPr>
      </w:pPr>
      <w:r>
        <w:rPr>
          <w:b/>
          <w:bCs/>
          <w:szCs w:val="24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57EF">
        <w:rPr>
          <w:b/>
          <w:bCs/>
          <w:szCs w:val="24"/>
          <w:lang w:eastAsia="x-none"/>
        </w:rPr>
        <w:tab/>
      </w:r>
      <w:r w:rsidR="00B357EF">
        <w:rPr>
          <w:b/>
          <w:bCs/>
          <w:szCs w:val="24"/>
          <w:lang w:eastAsia="x-none"/>
        </w:rPr>
        <w:tab/>
      </w:r>
      <w:r w:rsidR="00B357EF">
        <w:rPr>
          <w:b/>
          <w:bCs/>
          <w:szCs w:val="24"/>
          <w:lang w:eastAsia="x-none"/>
        </w:rPr>
        <w:tab/>
      </w:r>
      <w:r w:rsidR="00B357EF">
        <w:rPr>
          <w:b/>
          <w:bCs/>
          <w:szCs w:val="24"/>
          <w:lang w:eastAsia="x-none"/>
        </w:rPr>
        <w:tab/>
      </w:r>
      <w:r w:rsidR="00B357EF">
        <w:rPr>
          <w:b/>
          <w:bCs/>
          <w:szCs w:val="24"/>
          <w:lang w:eastAsia="x-none"/>
        </w:rPr>
        <w:tab/>
      </w:r>
    </w:p>
    <w:p w14:paraId="7C9960C1" w14:textId="77777777" w:rsidR="00B357EF" w:rsidRDefault="00B357EF" w:rsidP="002F0998">
      <w:pPr>
        <w:ind w:right="141"/>
        <w:jc w:val="center"/>
        <w:rPr>
          <w:b/>
          <w:bCs/>
          <w:szCs w:val="24"/>
          <w:lang w:eastAsia="x-none"/>
        </w:rPr>
      </w:pPr>
    </w:p>
    <w:p w14:paraId="63576935" w14:textId="77777777" w:rsidR="00B357EF" w:rsidRDefault="00B357EF" w:rsidP="002F0998">
      <w:pPr>
        <w:ind w:right="141"/>
        <w:jc w:val="center"/>
        <w:rPr>
          <w:b/>
          <w:bCs/>
          <w:szCs w:val="24"/>
          <w:lang w:eastAsia="x-none"/>
        </w:rPr>
      </w:pPr>
    </w:p>
    <w:p w14:paraId="1BA51C09" w14:textId="246D5AEE" w:rsidR="00076676" w:rsidRPr="002F0998" w:rsidRDefault="002F0998" w:rsidP="002F0998">
      <w:pPr>
        <w:ind w:right="141"/>
        <w:jc w:val="center"/>
        <w:rPr>
          <w:b/>
          <w:bCs/>
          <w:szCs w:val="24"/>
          <w:lang w:eastAsia="x-none"/>
        </w:rPr>
      </w:pPr>
      <w:r>
        <w:rPr>
          <w:b/>
          <w:bCs/>
          <w:szCs w:val="24"/>
          <w:lang w:eastAsia="x-none"/>
        </w:rPr>
        <w:t xml:space="preserve">VIEŠOSIOS ĮSTAIGOS VILKAVIŠKIO PIRMINĖS SVEIKATOS PRIEŽIŪROS CENTRO KORUPCIJOS PREVENCIJOS </w:t>
      </w:r>
      <w:r w:rsidR="00CA26A3">
        <w:rPr>
          <w:b/>
          <w:bCs/>
          <w:szCs w:val="24"/>
          <w:lang w:eastAsia="x-none"/>
        </w:rPr>
        <w:t xml:space="preserve">PROGRAMOS ĮGYVENDINIMO PRIEMONIŲ </w:t>
      </w:r>
      <w:r>
        <w:rPr>
          <w:b/>
          <w:bCs/>
          <w:szCs w:val="24"/>
          <w:lang w:eastAsia="x-none"/>
        </w:rPr>
        <w:t>PLAN</w:t>
      </w:r>
      <w:r w:rsidR="00CA26A3">
        <w:rPr>
          <w:b/>
          <w:bCs/>
          <w:szCs w:val="24"/>
          <w:lang w:eastAsia="x-none"/>
        </w:rPr>
        <w:t>O VYKDYMO ATASKAITA 2024 METAIS</w:t>
      </w:r>
    </w:p>
    <w:p w14:paraId="3C4A7934" w14:textId="77777777" w:rsidR="002F0998" w:rsidRDefault="002F0998">
      <w:pPr>
        <w:ind w:right="141"/>
        <w:rPr>
          <w:szCs w:val="24"/>
          <w:lang w:eastAsia="x-none"/>
        </w:rPr>
      </w:pPr>
    </w:p>
    <w:p w14:paraId="05C7AD21" w14:textId="77777777" w:rsidR="00076676" w:rsidRDefault="00076676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</w:p>
    <w:p w14:paraId="58497639" w14:textId="77777777" w:rsidR="00076676" w:rsidRDefault="00076676">
      <w:pPr>
        <w:tabs>
          <w:tab w:val="left" w:pos="851"/>
        </w:tabs>
        <w:ind w:firstLine="851"/>
        <w:jc w:val="both"/>
        <w:rPr>
          <w:b/>
          <w:bCs/>
          <w:caps/>
          <w:color w:val="FF0000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686"/>
        <w:gridCol w:w="1576"/>
        <w:gridCol w:w="1576"/>
        <w:gridCol w:w="2235"/>
        <w:gridCol w:w="3118"/>
      </w:tblGrid>
      <w:tr w:rsidR="00076676" w14:paraId="356E3356" w14:textId="77777777" w:rsidTr="00E77849">
        <w:tc>
          <w:tcPr>
            <w:tcW w:w="13887" w:type="dxa"/>
            <w:gridSpan w:val="6"/>
            <w:shd w:val="clear" w:color="auto" w:fill="auto"/>
          </w:tcPr>
          <w:p w14:paraId="15493B22" w14:textId="2447BCC9" w:rsidR="00076676" w:rsidRDefault="00471F1B">
            <w:pPr>
              <w:jc w:val="both"/>
              <w:rPr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TIKSLAS. </w:t>
            </w:r>
            <w:r>
              <w:rPr>
                <w:rFonts w:eastAsia="Calibri"/>
                <w:szCs w:val="24"/>
              </w:rPr>
              <w:t xml:space="preserve">Didinti </w:t>
            </w:r>
            <w:r w:rsidR="002F0998">
              <w:rPr>
                <w:rFonts w:eastAsia="Calibri"/>
                <w:szCs w:val="24"/>
              </w:rPr>
              <w:t>darbuotojų</w:t>
            </w:r>
            <w:r>
              <w:rPr>
                <w:szCs w:val="24"/>
              </w:rPr>
              <w:t xml:space="preserve"> antikorupcinį sąmoningumą, netoleranciją korupcijai</w:t>
            </w:r>
            <w:r w:rsidR="002F0998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skatinti </w:t>
            </w:r>
            <w:r w:rsidR="002F0998">
              <w:rPr>
                <w:szCs w:val="24"/>
              </w:rPr>
              <w:t>v</w:t>
            </w:r>
            <w:r>
              <w:rPr>
                <w:szCs w:val="24"/>
              </w:rPr>
              <w:t xml:space="preserve">eikti skaidriai </w:t>
            </w:r>
            <w:r w:rsidR="002F0998">
              <w:rPr>
                <w:szCs w:val="24"/>
              </w:rPr>
              <w:t>bei</w:t>
            </w:r>
            <w:r>
              <w:rPr>
                <w:szCs w:val="24"/>
              </w:rPr>
              <w:t xml:space="preserve"> sąžiningai, netoleruojant korupcijos ar kito nesąžiningo elgesio</w:t>
            </w:r>
            <w:r w:rsidR="002F0998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</w:tr>
      <w:tr w:rsidR="00076676" w14:paraId="5F6BF780" w14:textId="77777777" w:rsidTr="00E77849">
        <w:tc>
          <w:tcPr>
            <w:tcW w:w="13887" w:type="dxa"/>
            <w:gridSpan w:val="6"/>
            <w:shd w:val="clear" w:color="auto" w:fill="auto"/>
          </w:tcPr>
          <w:p w14:paraId="4FC1F8A0" w14:textId="77777777" w:rsidR="00076676" w:rsidRDefault="00076676">
            <w:pPr>
              <w:rPr>
                <w:kern w:val="2"/>
                <w:szCs w:val="24"/>
              </w:rPr>
            </w:pPr>
          </w:p>
        </w:tc>
      </w:tr>
      <w:tr w:rsidR="00076676" w14:paraId="1281E32E" w14:textId="77777777" w:rsidTr="00E77849">
        <w:tc>
          <w:tcPr>
            <w:tcW w:w="13887" w:type="dxa"/>
            <w:gridSpan w:val="6"/>
            <w:shd w:val="clear" w:color="auto" w:fill="auto"/>
          </w:tcPr>
          <w:p w14:paraId="4C02E07C" w14:textId="77777777" w:rsidR="00076676" w:rsidRDefault="00471F1B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1. UŽDAVINYS </w:t>
            </w:r>
          </w:p>
          <w:p w14:paraId="101F0EA7" w14:textId="1F9862ED" w:rsidR="00076676" w:rsidRDefault="00471F1B" w:rsidP="00292AB6">
            <w:pPr>
              <w:jc w:val="center"/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Didinti įstaig</w:t>
            </w:r>
            <w:r w:rsidR="002F0998">
              <w:rPr>
                <w:rFonts w:eastAsia="Calibri"/>
                <w:b/>
                <w:bCs/>
                <w:szCs w:val="24"/>
              </w:rPr>
              <w:t>os</w:t>
            </w:r>
            <w:r>
              <w:rPr>
                <w:rFonts w:eastAsia="Calibri"/>
                <w:b/>
                <w:bCs/>
                <w:szCs w:val="24"/>
              </w:rPr>
              <w:t xml:space="preserve"> veiklos viešumą ir</w:t>
            </w:r>
            <w:r w:rsidR="00432AA9">
              <w:rPr>
                <w:rFonts w:eastAsia="Calibri"/>
                <w:b/>
                <w:bCs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Cs w:val="24"/>
              </w:rPr>
              <w:t>atskaitingumą visuomenei</w:t>
            </w:r>
          </w:p>
        </w:tc>
      </w:tr>
      <w:tr w:rsidR="00076676" w14:paraId="66DF3DE8" w14:textId="77777777" w:rsidTr="00E77849">
        <w:tc>
          <w:tcPr>
            <w:tcW w:w="696" w:type="dxa"/>
          </w:tcPr>
          <w:p w14:paraId="1BF50C44" w14:textId="77777777" w:rsidR="00076676" w:rsidRDefault="00471F1B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Eil. Nr.</w:t>
            </w:r>
          </w:p>
        </w:tc>
        <w:tc>
          <w:tcPr>
            <w:tcW w:w="4686" w:type="dxa"/>
          </w:tcPr>
          <w:p w14:paraId="22E45B28" w14:textId="5FED697A" w:rsidR="00076676" w:rsidRDefault="00CA26A3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Korupcijos prevencijos programos priemonės</w:t>
            </w:r>
          </w:p>
        </w:tc>
        <w:tc>
          <w:tcPr>
            <w:tcW w:w="1576" w:type="dxa"/>
          </w:tcPr>
          <w:p w14:paraId="2D89C7D4" w14:textId="77777777" w:rsidR="00076676" w:rsidRDefault="00471F1B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Vykdytojai</w:t>
            </w:r>
          </w:p>
        </w:tc>
        <w:tc>
          <w:tcPr>
            <w:tcW w:w="1576" w:type="dxa"/>
          </w:tcPr>
          <w:p w14:paraId="19C3CFA2" w14:textId="77777777" w:rsidR="00076676" w:rsidRDefault="00471F1B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Įgyvendinimo terminas</w:t>
            </w:r>
          </w:p>
        </w:tc>
        <w:tc>
          <w:tcPr>
            <w:tcW w:w="2235" w:type="dxa"/>
          </w:tcPr>
          <w:p w14:paraId="08013580" w14:textId="663315D8" w:rsidR="00076676" w:rsidRDefault="00471F1B">
            <w:pPr>
              <w:rPr>
                <w:b/>
                <w:bCs/>
                <w:i/>
                <w:iCs/>
                <w:kern w:val="2"/>
                <w:szCs w:val="24"/>
              </w:rPr>
            </w:pPr>
            <w:r>
              <w:rPr>
                <w:b/>
                <w:bCs/>
                <w:i/>
                <w:iCs/>
                <w:kern w:val="2"/>
                <w:szCs w:val="24"/>
              </w:rPr>
              <w:t>Laukiam</w:t>
            </w:r>
            <w:r w:rsidR="00CA26A3">
              <w:rPr>
                <w:b/>
                <w:bCs/>
                <w:i/>
                <w:iCs/>
                <w:kern w:val="2"/>
                <w:szCs w:val="24"/>
              </w:rPr>
              <w:t>o</w:t>
            </w:r>
            <w:r>
              <w:rPr>
                <w:b/>
                <w:bCs/>
                <w:i/>
                <w:iCs/>
                <w:kern w:val="2"/>
                <w:szCs w:val="24"/>
              </w:rPr>
              <w:t xml:space="preserve"> rezultat</w:t>
            </w:r>
            <w:r w:rsidR="00CA26A3">
              <w:rPr>
                <w:b/>
                <w:bCs/>
                <w:i/>
                <w:iCs/>
                <w:kern w:val="2"/>
                <w:szCs w:val="24"/>
              </w:rPr>
              <w:t>o vertinimo kriterijai</w:t>
            </w:r>
          </w:p>
        </w:tc>
        <w:tc>
          <w:tcPr>
            <w:tcW w:w="3118" w:type="dxa"/>
          </w:tcPr>
          <w:p w14:paraId="316E1318" w14:textId="68B3715A" w:rsidR="00076676" w:rsidRDefault="00CA26A3">
            <w:pPr>
              <w:rPr>
                <w:b/>
                <w:bCs/>
                <w:i/>
                <w:iCs/>
                <w:kern w:val="2"/>
                <w:szCs w:val="24"/>
              </w:rPr>
            </w:pPr>
            <w:r>
              <w:rPr>
                <w:b/>
                <w:bCs/>
                <w:i/>
                <w:iCs/>
                <w:kern w:val="2"/>
                <w:szCs w:val="24"/>
              </w:rPr>
              <w:t>Informacija apie priemonės įvykdymą</w:t>
            </w:r>
          </w:p>
        </w:tc>
      </w:tr>
      <w:tr w:rsidR="00076676" w14:paraId="0E9656DB" w14:textId="77777777" w:rsidTr="00E77849">
        <w:tc>
          <w:tcPr>
            <w:tcW w:w="696" w:type="dxa"/>
          </w:tcPr>
          <w:p w14:paraId="21AC638A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1.3.</w:t>
            </w:r>
          </w:p>
        </w:tc>
        <w:tc>
          <w:tcPr>
            <w:tcW w:w="4686" w:type="dxa"/>
          </w:tcPr>
          <w:p w14:paraId="6D7363D8" w14:textId="118BFEC1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ir viešai matomose įstaig</w:t>
            </w:r>
            <w:r w:rsidR="002F0998">
              <w:rPr>
                <w:kern w:val="2"/>
                <w:szCs w:val="24"/>
              </w:rPr>
              <w:t>os</w:t>
            </w:r>
            <w:r>
              <w:rPr>
                <w:kern w:val="2"/>
                <w:szCs w:val="24"/>
              </w:rPr>
              <w:t xml:space="preserve"> erdvėse (fojė, koridoriuje, kitoje gerai matomoje vietoje) skelbti įstaigos vertybes.    </w:t>
            </w:r>
          </w:p>
        </w:tc>
        <w:tc>
          <w:tcPr>
            <w:tcW w:w="1576" w:type="dxa"/>
          </w:tcPr>
          <w:p w14:paraId="6A691096" w14:textId="17A7AC9A" w:rsidR="002F0998" w:rsidRDefault="00071C46" w:rsidP="0018189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Atsakingas už korupcijai atsparios aplinkos kūrimą</w:t>
            </w:r>
            <w:r w:rsidR="002F0998">
              <w:rPr>
                <w:kern w:val="2"/>
                <w:szCs w:val="24"/>
                <w:lang w:eastAsia="lt-LT"/>
              </w:rPr>
              <w:t>,</w:t>
            </w:r>
          </w:p>
          <w:p w14:paraId="7ECA56F1" w14:textId="50097ADE" w:rsidR="002F0998" w:rsidRDefault="006F2ACF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IT specialistas</w:t>
            </w:r>
          </w:p>
        </w:tc>
        <w:tc>
          <w:tcPr>
            <w:tcW w:w="1576" w:type="dxa"/>
          </w:tcPr>
          <w:p w14:paraId="337656F5" w14:textId="74BB8A7F" w:rsidR="00076676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 xml:space="preserve">Kasmet </w:t>
            </w:r>
          </w:p>
        </w:tc>
        <w:tc>
          <w:tcPr>
            <w:tcW w:w="2235" w:type="dxa"/>
          </w:tcPr>
          <w:p w14:paraId="1BC047B5" w14:textId="77777777" w:rsidR="004423A3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Didesnis visuomenės ir pacientų</w:t>
            </w:r>
          </w:p>
          <w:p w14:paraId="5DF2D523" w14:textId="3A8B99A9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antikorupcinis sąmoningumas. </w:t>
            </w:r>
          </w:p>
        </w:tc>
        <w:tc>
          <w:tcPr>
            <w:tcW w:w="3118" w:type="dxa"/>
          </w:tcPr>
          <w:p w14:paraId="64D6C253" w14:textId="77777777" w:rsidR="00F51499" w:rsidRPr="00F51499" w:rsidRDefault="00F51499" w:rsidP="00F514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F51499">
              <w:rPr>
                <w:b/>
                <w:bCs/>
                <w:i/>
                <w:iCs/>
                <w:szCs w:val="24"/>
              </w:rPr>
              <w:t>Vykdoma</w:t>
            </w:r>
          </w:p>
          <w:p w14:paraId="47E77B47" w14:textId="1D5C7B82" w:rsidR="00076676" w:rsidRDefault="00C3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Įstaigoje v</w:t>
            </w:r>
            <w:r w:rsidR="00471F1B">
              <w:rPr>
                <w:szCs w:val="24"/>
              </w:rPr>
              <w:t xml:space="preserve">iešai skelbiamos įstaigos vertybės (interneto svetainėje </w:t>
            </w:r>
            <w:hyperlink r:id="rId7" w:history="1">
              <w:r w:rsidRPr="0054663C">
                <w:rPr>
                  <w:rStyle w:val="Hipersaitas"/>
                  <w:szCs w:val="24"/>
                </w:rPr>
                <w:t>https://www.pspcvilkaviskis.lt/apie-mus/</w:t>
              </w:r>
            </w:hyperlink>
            <w:r>
              <w:rPr>
                <w:szCs w:val="24"/>
              </w:rPr>
              <w:t xml:space="preserve"> </w:t>
            </w:r>
            <w:r w:rsidR="00471F1B">
              <w:rPr>
                <w:szCs w:val="24"/>
              </w:rPr>
              <w:t>).</w:t>
            </w:r>
          </w:p>
          <w:p w14:paraId="16712B49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</w:tr>
      <w:tr w:rsidR="00076676" w14:paraId="17F9E102" w14:textId="77777777" w:rsidTr="00E77849">
        <w:tc>
          <w:tcPr>
            <w:tcW w:w="696" w:type="dxa"/>
          </w:tcPr>
          <w:p w14:paraId="1848C553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1.6.</w:t>
            </w:r>
          </w:p>
        </w:tc>
        <w:tc>
          <w:tcPr>
            <w:tcW w:w="4686" w:type="dxa"/>
          </w:tcPr>
          <w:p w14:paraId="3AC6C1F7" w14:textId="4DEFFFEE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Vykdyti pacientų apklausas, siekiant įvertinti pacientų pasitenkinimo teikiamomis paslaugomis lygį, integruojant klausimus apie korupciją, o apibendrintus apklausų rezultatus viešinti įstaigos interneto svetainėje.</w:t>
            </w:r>
          </w:p>
        </w:tc>
        <w:tc>
          <w:tcPr>
            <w:tcW w:w="1576" w:type="dxa"/>
          </w:tcPr>
          <w:p w14:paraId="094FC009" w14:textId="1F5FB06D" w:rsidR="00076676" w:rsidRDefault="003B1866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Medicinos a</w:t>
            </w:r>
            <w:r w:rsidR="002F0998">
              <w:rPr>
                <w:kern w:val="2"/>
                <w:szCs w:val="24"/>
                <w:lang w:eastAsia="lt-LT"/>
              </w:rPr>
              <w:t>uditorė,</w:t>
            </w:r>
          </w:p>
          <w:p w14:paraId="760BFF23" w14:textId="27CD3E0C" w:rsidR="002F0998" w:rsidRDefault="006F2ACF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IT specialistas</w:t>
            </w:r>
          </w:p>
        </w:tc>
        <w:tc>
          <w:tcPr>
            <w:tcW w:w="1576" w:type="dxa"/>
          </w:tcPr>
          <w:p w14:paraId="27B32CB1" w14:textId="0E08691D" w:rsidR="00076676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 xml:space="preserve">2024 m. IV ketv. </w:t>
            </w:r>
          </w:p>
        </w:tc>
        <w:tc>
          <w:tcPr>
            <w:tcW w:w="2235" w:type="dxa"/>
          </w:tcPr>
          <w:p w14:paraId="1FC65972" w14:textId="39DC5AD8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Tobulinama įstaig</w:t>
            </w:r>
            <w:r w:rsidR="00760372">
              <w:rPr>
                <w:color w:val="000000"/>
                <w:kern w:val="2"/>
                <w:szCs w:val="24"/>
              </w:rPr>
              <w:t>os</w:t>
            </w:r>
            <w:r>
              <w:rPr>
                <w:color w:val="000000"/>
                <w:kern w:val="2"/>
                <w:szCs w:val="24"/>
              </w:rPr>
              <w:t xml:space="preserve"> veikla, atsižvelgiant į pacientų, kuriems teikiamos viešosios paslaugos, patirtį bei siūlymus.</w:t>
            </w:r>
          </w:p>
        </w:tc>
        <w:tc>
          <w:tcPr>
            <w:tcW w:w="3118" w:type="dxa"/>
          </w:tcPr>
          <w:p w14:paraId="3DAE5A9B" w14:textId="77777777" w:rsidR="00F51499" w:rsidRDefault="0011644C">
            <w:pPr>
              <w:suppressAutoHyphens/>
              <w:jc w:val="both"/>
              <w:rPr>
                <w:b/>
                <w:bCs/>
                <w:i/>
                <w:iCs/>
                <w:szCs w:val="24"/>
              </w:rPr>
            </w:pPr>
            <w:r w:rsidRPr="00F51499">
              <w:rPr>
                <w:b/>
                <w:bCs/>
                <w:i/>
                <w:iCs/>
                <w:szCs w:val="24"/>
              </w:rPr>
              <w:t>Vykdoma</w:t>
            </w:r>
          </w:p>
          <w:p w14:paraId="2B8E9514" w14:textId="48F950AA" w:rsidR="00076676" w:rsidRDefault="004C11AD" w:rsidP="00292AB6">
            <w:pPr>
              <w:suppressAutoHyphens/>
              <w:jc w:val="both"/>
              <w:rPr>
                <w:kern w:val="2"/>
                <w:szCs w:val="24"/>
              </w:rPr>
            </w:pPr>
            <w:r w:rsidRPr="004C11AD">
              <w:rPr>
                <w:szCs w:val="24"/>
              </w:rPr>
              <w:t>Apklausos dėl pacientų pasitenkinimo įstaigos teikiamomis paslaugomis vykdomos, pagal įstaigos direktoriaus įsakymu patvirtintą tvarką. Apklausa vykdoma nuolatos, įstaigos internetinėje svetainėje. Pagal apklausos rezultatus pacientai yra patenkinti teikiamomis įstaigos paslaugomis.   </w:t>
            </w:r>
            <w:r w:rsidR="0011644C">
              <w:rPr>
                <w:szCs w:val="24"/>
              </w:rPr>
              <w:t xml:space="preserve"> </w:t>
            </w:r>
          </w:p>
        </w:tc>
      </w:tr>
      <w:tr w:rsidR="00076676" w14:paraId="0A213770" w14:textId="77777777" w:rsidTr="00E77849">
        <w:tc>
          <w:tcPr>
            <w:tcW w:w="696" w:type="dxa"/>
          </w:tcPr>
          <w:p w14:paraId="6839BACD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1.7.</w:t>
            </w:r>
          </w:p>
        </w:tc>
        <w:tc>
          <w:tcPr>
            <w:tcW w:w="4686" w:type="dxa"/>
          </w:tcPr>
          <w:p w14:paraId="09C049B4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Didinant pacientų antikorupcinį raštingumą, parengti pacientams atmintines, padėsiančias jiems pasiruošti vizitui pas gydytoją, ir jas viešinti įstaigos interneto svetainėje ir įstaigoje viešai matomose vietose bei dalyti apsilankymo įstaigoje metu.</w:t>
            </w:r>
          </w:p>
        </w:tc>
        <w:tc>
          <w:tcPr>
            <w:tcW w:w="1576" w:type="dxa"/>
          </w:tcPr>
          <w:p w14:paraId="12E5C18C" w14:textId="77777777" w:rsidR="00071C46" w:rsidRDefault="00071C46" w:rsidP="00071C46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Atsakingas už korupcijai atsparios aplinkos kūrimą</w:t>
            </w:r>
          </w:p>
          <w:p w14:paraId="73708720" w14:textId="24723826" w:rsidR="00076676" w:rsidRDefault="006F2ACF" w:rsidP="00760372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IT specialistas</w:t>
            </w:r>
          </w:p>
        </w:tc>
        <w:tc>
          <w:tcPr>
            <w:tcW w:w="1576" w:type="dxa"/>
          </w:tcPr>
          <w:p w14:paraId="0251F138" w14:textId="6CA67CBF" w:rsidR="00076676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1C9F9D41" w14:textId="21B3B270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Kokybiškas pacientų aptarnavimas yra kokybiškai veikiančios įstaigos požymis. Tinkamas paciento pasiruošimas vizitui pas gydytoją mažins smulkiąją korupciją. </w:t>
            </w:r>
          </w:p>
        </w:tc>
        <w:tc>
          <w:tcPr>
            <w:tcW w:w="3118" w:type="dxa"/>
          </w:tcPr>
          <w:p w14:paraId="0A0A196C" w14:textId="77777777" w:rsidR="00F51499" w:rsidRPr="00784D92" w:rsidRDefault="00F51499" w:rsidP="00F514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84D92">
              <w:rPr>
                <w:b/>
                <w:bCs/>
                <w:i/>
                <w:iCs/>
                <w:szCs w:val="24"/>
              </w:rPr>
              <w:t>Vykdoma</w:t>
            </w:r>
          </w:p>
          <w:p w14:paraId="7186E85B" w14:textId="77777777" w:rsidR="004423A3" w:rsidRPr="00784D92" w:rsidRDefault="004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 w:rsidRPr="00784D92">
              <w:rPr>
                <w:szCs w:val="24"/>
              </w:rPr>
              <w:t>Parengtos atmintinės</w:t>
            </w:r>
          </w:p>
          <w:p w14:paraId="32608B07" w14:textId="73F74E62" w:rsidR="00076676" w:rsidRPr="00784D92" w:rsidRDefault="004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 w:rsidRPr="00784D92">
              <w:rPr>
                <w:szCs w:val="24"/>
              </w:rPr>
              <w:t xml:space="preserve"> pacientams:</w:t>
            </w:r>
          </w:p>
          <w:p w14:paraId="4F831CDE" w14:textId="022294A5" w:rsidR="004423A3" w:rsidRPr="00784D92" w:rsidRDefault="004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 w:rsidRPr="00784D92">
              <w:rPr>
                <w:szCs w:val="24"/>
              </w:rPr>
              <w:t>viešinamos įstaigos</w:t>
            </w:r>
          </w:p>
          <w:p w14:paraId="057C5786" w14:textId="21E9BFC9" w:rsidR="00076676" w:rsidRPr="00784D92" w:rsidRDefault="004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 w:rsidRPr="00784D92">
              <w:rPr>
                <w:szCs w:val="24"/>
              </w:rPr>
              <w:t>interneto svetainėje</w:t>
            </w:r>
            <w:r w:rsidR="0011644C" w:rsidRPr="00784D92">
              <w:rPr>
                <w:szCs w:val="24"/>
              </w:rPr>
              <w:t>,</w:t>
            </w:r>
            <w:r w:rsidRPr="00784D92">
              <w:rPr>
                <w:szCs w:val="24"/>
              </w:rPr>
              <w:t xml:space="preserve"> </w:t>
            </w:r>
            <w:r w:rsidR="0011644C" w:rsidRPr="00784D92">
              <w:rPr>
                <w:szCs w:val="24"/>
              </w:rPr>
              <w:t xml:space="preserve">įstaigos skelbimų lentose, dalinamos </w:t>
            </w:r>
          </w:p>
          <w:p w14:paraId="0E366050" w14:textId="06E24E14" w:rsidR="00076676" w:rsidRDefault="00116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pacientams</w:t>
            </w:r>
            <w:r w:rsidR="00471F1B">
              <w:rPr>
                <w:szCs w:val="24"/>
              </w:rPr>
              <w:t xml:space="preserve">. </w:t>
            </w:r>
          </w:p>
          <w:p w14:paraId="57198C1E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</w:tr>
      <w:tr w:rsidR="00076676" w14:paraId="6A967414" w14:textId="77777777" w:rsidTr="00E77849">
        <w:trPr>
          <w:trHeight w:val="50"/>
        </w:trPr>
        <w:tc>
          <w:tcPr>
            <w:tcW w:w="696" w:type="dxa"/>
          </w:tcPr>
          <w:p w14:paraId="623955D2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1.11.</w:t>
            </w:r>
          </w:p>
          <w:p w14:paraId="4C9E49FB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4686" w:type="dxa"/>
          </w:tcPr>
          <w:p w14:paraId="6F890337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>Pirminės sveikatos priežiūros įstaigos informaciniuose stenduose / monitoriuose ir interneto svetainėse skelbti aktualų tyrimų, kuriuos turi teisę paskirti šeimos gydytojas, sąrašą.</w:t>
            </w:r>
          </w:p>
        </w:tc>
        <w:tc>
          <w:tcPr>
            <w:tcW w:w="1576" w:type="dxa"/>
          </w:tcPr>
          <w:p w14:paraId="1D876EA8" w14:textId="38649C4B" w:rsidR="00760372" w:rsidRDefault="00760372" w:rsidP="00760372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Direktoriaus</w:t>
            </w:r>
          </w:p>
          <w:p w14:paraId="01589373" w14:textId="6FACD887" w:rsidR="00760372" w:rsidRDefault="00760372" w:rsidP="00760372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pavaduotojas medicinai,</w:t>
            </w:r>
          </w:p>
          <w:p w14:paraId="0086A64A" w14:textId="77777777" w:rsidR="002C28A5" w:rsidRDefault="002C28A5" w:rsidP="002C28A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Atsakingas už korupcijai atsparios aplinkos kūrimą</w:t>
            </w:r>
          </w:p>
          <w:p w14:paraId="764D376F" w14:textId="6A228744" w:rsidR="00076676" w:rsidRDefault="006F2ACF" w:rsidP="00760372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IT specialistas</w:t>
            </w:r>
          </w:p>
        </w:tc>
        <w:tc>
          <w:tcPr>
            <w:tcW w:w="1576" w:type="dxa"/>
          </w:tcPr>
          <w:p w14:paraId="4C6C929A" w14:textId="336F239E" w:rsidR="00076676" w:rsidRDefault="00F46907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2024 m. IV ketv. </w:t>
            </w:r>
          </w:p>
          <w:p w14:paraId="7C40E9B2" w14:textId="77777777" w:rsidR="00076676" w:rsidRDefault="00076676">
            <w:pPr>
              <w:jc w:val="both"/>
              <w:rPr>
                <w:kern w:val="2"/>
                <w:szCs w:val="24"/>
                <w:lang w:eastAsia="lt-LT"/>
              </w:rPr>
            </w:pPr>
          </w:p>
          <w:p w14:paraId="61524401" w14:textId="77777777" w:rsidR="00076676" w:rsidRDefault="00076676">
            <w:pPr>
              <w:jc w:val="both"/>
              <w:rPr>
                <w:kern w:val="2"/>
                <w:szCs w:val="24"/>
                <w:lang w:eastAsia="lt-LT"/>
              </w:rPr>
            </w:pPr>
          </w:p>
          <w:p w14:paraId="2C07BB66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235" w:type="dxa"/>
          </w:tcPr>
          <w:p w14:paraId="3FACF426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Pacientų, žinančių savo teises, skaičiaus didėjimas mažina smulkiąją korupciją įstaigoje, pvz., neteisėtas priemokas už suteiktas paslaugas ar priemones.  </w:t>
            </w:r>
          </w:p>
        </w:tc>
        <w:tc>
          <w:tcPr>
            <w:tcW w:w="3118" w:type="dxa"/>
          </w:tcPr>
          <w:p w14:paraId="5DD330F5" w14:textId="77777777" w:rsidR="00F51499" w:rsidRPr="00F51499" w:rsidRDefault="00F51499" w:rsidP="00F514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F51499">
              <w:rPr>
                <w:b/>
                <w:bCs/>
                <w:i/>
                <w:iCs/>
                <w:szCs w:val="24"/>
              </w:rPr>
              <w:t>Vykdoma</w:t>
            </w:r>
          </w:p>
          <w:p w14:paraId="691F2334" w14:textId="4940D0FC" w:rsidR="00076676" w:rsidRDefault="00760372">
            <w:pPr>
              <w:suppressAutoHyphens/>
              <w:jc w:val="both"/>
              <w:rPr>
                <w:kern w:val="2"/>
                <w:szCs w:val="24"/>
              </w:rPr>
            </w:pPr>
            <w:r w:rsidRPr="00C339DB">
              <w:rPr>
                <w:rFonts w:eastAsia="Calibri"/>
                <w:szCs w:val="24"/>
                <w:lang w:eastAsia="lt-LT"/>
              </w:rPr>
              <w:t>Įstaigos</w:t>
            </w:r>
            <w:r w:rsidR="00471F1B" w:rsidRPr="00C339DB">
              <w:rPr>
                <w:rFonts w:eastAsia="Calibri"/>
                <w:szCs w:val="24"/>
                <w:lang w:eastAsia="lt-LT"/>
              </w:rPr>
              <w:t xml:space="preserve"> informaciniuose stenduose / monitori</w:t>
            </w:r>
            <w:r w:rsidRPr="00C339DB">
              <w:rPr>
                <w:rFonts w:eastAsia="Calibri"/>
                <w:szCs w:val="24"/>
                <w:lang w:eastAsia="lt-LT"/>
              </w:rPr>
              <w:t>uje</w:t>
            </w:r>
            <w:r w:rsidR="00471F1B" w:rsidRPr="00C339DB">
              <w:rPr>
                <w:rFonts w:eastAsia="Calibri"/>
                <w:szCs w:val="24"/>
                <w:lang w:eastAsia="lt-LT"/>
              </w:rPr>
              <w:t xml:space="preserve"> ir interneto svetainė</w:t>
            </w:r>
            <w:r w:rsidRPr="00C339DB">
              <w:rPr>
                <w:rFonts w:eastAsia="Calibri"/>
                <w:szCs w:val="24"/>
                <w:lang w:eastAsia="lt-LT"/>
              </w:rPr>
              <w:t>je</w:t>
            </w:r>
            <w:r w:rsidR="00C339DB" w:rsidRPr="00C339DB">
              <w:rPr>
                <w:rFonts w:eastAsia="Calibri"/>
                <w:szCs w:val="24"/>
                <w:lang w:eastAsia="lt-LT"/>
              </w:rPr>
              <w:t xml:space="preserve"> </w:t>
            </w:r>
            <w:hyperlink r:id="rId8" w:history="1">
              <w:r w:rsidR="009319DB" w:rsidRPr="0054663C">
                <w:rPr>
                  <w:rStyle w:val="Hipersaitas"/>
                  <w:rFonts w:eastAsia="Calibri"/>
                  <w:szCs w:val="24"/>
                  <w:lang w:eastAsia="lt-LT"/>
                </w:rPr>
                <w:t>https://www.pspcvilkaviskis.lt/nemokamos-paslaugos/</w:t>
              </w:r>
            </w:hyperlink>
            <w:r w:rsidR="009319DB">
              <w:rPr>
                <w:rFonts w:eastAsia="Calibri"/>
                <w:color w:val="FF0000"/>
                <w:szCs w:val="24"/>
                <w:lang w:eastAsia="lt-LT"/>
              </w:rPr>
              <w:t xml:space="preserve"> </w:t>
            </w:r>
            <w:r w:rsidR="00C339DB">
              <w:rPr>
                <w:rFonts w:eastAsia="Calibri"/>
                <w:color w:val="FF0000"/>
                <w:szCs w:val="24"/>
                <w:lang w:eastAsia="lt-LT"/>
              </w:rPr>
              <w:t xml:space="preserve"> </w:t>
            </w:r>
            <w:r w:rsidR="00471F1B" w:rsidRPr="00C339DB">
              <w:rPr>
                <w:rFonts w:eastAsia="Calibri"/>
                <w:szCs w:val="24"/>
                <w:lang w:eastAsia="lt-LT"/>
              </w:rPr>
              <w:t>skelbiami aktualių tyrimų, kuriuos turi teisę paskirti šeimos gydytojas, sąrašai.</w:t>
            </w:r>
          </w:p>
        </w:tc>
      </w:tr>
      <w:tr w:rsidR="00F46907" w:rsidRPr="00F46907" w14:paraId="440DBB5A" w14:textId="77777777" w:rsidTr="00E77849">
        <w:tc>
          <w:tcPr>
            <w:tcW w:w="696" w:type="dxa"/>
          </w:tcPr>
          <w:p w14:paraId="51CA479C" w14:textId="77777777" w:rsidR="00076676" w:rsidRPr="00F46907" w:rsidRDefault="00471F1B">
            <w:pPr>
              <w:jc w:val="both"/>
              <w:rPr>
                <w:kern w:val="2"/>
                <w:szCs w:val="24"/>
              </w:rPr>
            </w:pPr>
            <w:bookmarkStart w:id="0" w:name="_Hlk193282140"/>
            <w:r w:rsidRPr="00F46907">
              <w:rPr>
                <w:kern w:val="2"/>
                <w:szCs w:val="24"/>
              </w:rPr>
              <w:t>1.13.</w:t>
            </w:r>
          </w:p>
        </w:tc>
        <w:tc>
          <w:tcPr>
            <w:tcW w:w="4686" w:type="dxa"/>
          </w:tcPr>
          <w:p w14:paraId="5829F9D2" w14:textId="77777777" w:rsidR="00076676" w:rsidRPr="00F46907" w:rsidRDefault="00471F1B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  <w:r w:rsidRPr="00F46907">
              <w:rPr>
                <w:rFonts w:eastAsia="Calibri"/>
                <w:kern w:val="2"/>
                <w:szCs w:val="24"/>
              </w:rPr>
              <w:t>Skelbti informaciją apie pacientų teises ir pareigas įstaigos interneto svetainėje.</w:t>
            </w:r>
          </w:p>
          <w:p w14:paraId="5D61D86F" w14:textId="77777777" w:rsidR="00076676" w:rsidRPr="00F46907" w:rsidRDefault="00076676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1576" w:type="dxa"/>
          </w:tcPr>
          <w:p w14:paraId="0DB910CA" w14:textId="6EAE4E85" w:rsidR="00076676" w:rsidRPr="00F46907" w:rsidRDefault="006F2ACF">
            <w:pPr>
              <w:jc w:val="both"/>
              <w:rPr>
                <w:kern w:val="2"/>
                <w:szCs w:val="24"/>
              </w:rPr>
            </w:pPr>
            <w:r w:rsidRPr="00F46907">
              <w:rPr>
                <w:kern w:val="2"/>
                <w:szCs w:val="24"/>
                <w:lang w:eastAsia="lt-LT"/>
              </w:rPr>
              <w:t>IT specialistas</w:t>
            </w:r>
          </w:p>
        </w:tc>
        <w:tc>
          <w:tcPr>
            <w:tcW w:w="1576" w:type="dxa"/>
          </w:tcPr>
          <w:p w14:paraId="3C087DE1" w14:textId="1B61F543" w:rsidR="00076676" w:rsidRPr="00F46907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2CD1E9F2" w14:textId="77777777" w:rsidR="00076676" w:rsidRPr="00F46907" w:rsidRDefault="00471F1B">
            <w:pPr>
              <w:jc w:val="both"/>
              <w:rPr>
                <w:kern w:val="2"/>
                <w:szCs w:val="24"/>
              </w:rPr>
            </w:pPr>
            <w:r w:rsidRPr="00F46907">
              <w:rPr>
                <w:kern w:val="2"/>
                <w:szCs w:val="24"/>
              </w:rPr>
              <w:t>Pacientų, žinančių savo teises, skaičiaus didėjimas mažina smulkiąją korupciją įstaigoje.</w:t>
            </w:r>
          </w:p>
        </w:tc>
        <w:tc>
          <w:tcPr>
            <w:tcW w:w="3118" w:type="dxa"/>
          </w:tcPr>
          <w:p w14:paraId="72FC8DA7" w14:textId="77777777" w:rsidR="00F51499" w:rsidRPr="00F46907" w:rsidRDefault="00F51499" w:rsidP="00F514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F46907">
              <w:rPr>
                <w:b/>
                <w:bCs/>
                <w:i/>
                <w:iCs/>
                <w:szCs w:val="24"/>
              </w:rPr>
              <w:t>Vykdoma</w:t>
            </w:r>
          </w:p>
          <w:p w14:paraId="0C08AE27" w14:textId="39E92CAE" w:rsidR="00076676" w:rsidRPr="00F46907" w:rsidRDefault="00B24E7A">
            <w:pPr>
              <w:jc w:val="both"/>
              <w:rPr>
                <w:kern w:val="2"/>
                <w:szCs w:val="24"/>
              </w:rPr>
            </w:pPr>
            <w:r w:rsidRPr="00F46907">
              <w:rPr>
                <w:szCs w:val="24"/>
              </w:rPr>
              <w:t>Įstaigos</w:t>
            </w:r>
            <w:r w:rsidR="00471F1B" w:rsidRPr="00F46907">
              <w:rPr>
                <w:szCs w:val="24"/>
              </w:rPr>
              <w:t xml:space="preserve"> interneto svetainėje skelbiama i</w:t>
            </w:r>
            <w:r w:rsidR="00471F1B" w:rsidRPr="00F46907">
              <w:rPr>
                <w:rFonts w:eastAsia="Calibri"/>
                <w:szCs w:val="24"/>
              </w:rPr>
              <w:t>nformacija apie pacientų teises ir pareigas</w:t>
            </w:r>
            <w:r w:rsidR="00784D92">
              <w:rPr>
                <w:rFonts w:eastAsia="Calibri"/>
                <w:szCs w:val="24"/>
              </w:rPr>
              <w:t xml:space="preserve"> </w:t>
            </w:r>
            <w:hyperlink r:id="rId9" w:history="1">
              <w:r w:rsidR="00784D92" w:rsidRPr="006E4561">
                <w:rPr>
                  <w:rStyle w:val="Hipersaitas"/>
                  <w:rFonts w:eastAsia="Calibri"/>
                  <w:szCs w:val="24"/>
                </w:rPr>
                <w:t>https://www.pspcvilkaviskis.lt/vidaus-tvarkos-taisykles/</w:t>
              </w:r>
            </w:hyperlink>
            <w:r w:rsidR="00784D92">
              <w:rPr>
                <w:rFonts w:eastAsia="Calibri"/>
                <w:szCs w:val="24"/>
              </w:rPr>
              <w:t xml:space="preserve"> </w:t>
            </w:r>
            <w:r w:rsidR="00471F1B" w:rsidRPr="00F46907">
              <w:rPr>
                <w:rFonts w:eastAsia="Calibri"/>
                <w:szCs w:val="24"/>
              </w:rPr>
              <w:t>.</w:t>
            </w:r>
            <w:r w:rsidR="00F46907" w:rsidRPr="00F46907">
              <w:rPr>
                <w:rFonts w:eastAsia="Calibri"/>
                <w:szCs w:val="24"/>
              </w:rPr>
              <w:t xml:space="preserve"> </w:t>
            </w:r>
          </w:p>
        </w:tc>
      </w:tr>
      <w:bookmarkEnd w:id="0"/>
      <w:tr w:rsidR="00076676" w14:paraId="1E5EADB1" w14:textId="77777777" w:rsidTr="00E77849">
        <w:tc>
          <w:tcPr>
            <w:tcW w:w="696" w:type="dxa"/>
          </w:tcPr>
          <w:p w14:paraId="5DD9337A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1.14. </w:t>
            </w:r>
          </w:p>
        </w:tc>
        <w:tc>
          <w:tcPr>
            <w:tcW w:w="4686" w:type="dxa"/>
          </w:tcPr>
          <w:p w14:paraId="7098A99B" w14:textId="444D72E8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Vykdyti registraciją ambulatorinėms asmens sveikatos priežiūros paslaugoms gauti per </w:t>
            </w:r>
            <w:r w:rsidR="00B24E7A">
              <w:rPr>
                <w:kern w:val="2"/>
                <w:szCs w:val="24"/>
              </w:rPr>
              <w:t>i</w:t>
            </w:r>
            <w:r>
              <w:rPr>
                <w:kern w:val="2"/>
                <w:szCs w:val="24"/>
              </w:rPr>
              <w:t>šankstinę pacientų registracijos informacinę sistemą (toliau – IPR IS) visa apimtimi.</w:t>
            </w:r>
          </w:p>
        </w:tc>
        <w:tc>
          <w:tcPr>
            <w:tcW w:w="1576" w:type="dxa"/>
          </w:tcPr>
          <w:p w14:paraId="2BAF9ACB" w14:textId="21807834" w:rsidR="00076676" w:rsidRDefault="006F2ACF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IT specialistas</w:t>
            </w:r>
          </w:p>
        </w:tc>
        <w:tc>
          <w:tcPr>
            <w:tcW w:w="1576" w:type="dxa"/>
          </w:tcPr>
          <w:p w14:paraId="326AF463" w14:textId="700E355D" w:rsidR="00076676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4C2E3D66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 w:rsidRPr="00E85689">
              <w:rPr>
                <w:color w:val="000000" w:themeColor="text1"/>
                <w:spacing w:val="2"/>
                <w:kern w:val="2"/>
                <w:szCs w:val="24"/>
                <w:shd w:val="clear" w:color="auto" w:fill="FFFFFF"/>
              </w:rPr>
              <w:t xml:space="preserve">Išankstinės pacientų registracijos (IPR) informacinės sistemos duomenys leis stebėti eilių dinamiką ir identifikuoti problemas, taip pat stebėti taikomų poveikio priemonių </w:t>
            </w:r>
            <w:r w:rsidRPr="00E85689">
              <w:rPr>
                <w:color w:val="000000" w:themeColor="text1"/>
                <w:spacing w:val="2"/>
                <w:kern w:val="2"/>
                <w:szCs w:val="24"/>
                <w:shd w:val="clear" w:color="auto" w:fill="FFFFFF"/>
              </w:rPr>
              <w:lastRenderedPageBreak/>
              <w:t xml:space="preserve">efektyvumą ir mažinti esminius korupcijos rizikos veiksnius paslaugų prieinamumo srityje. </w:t>
            </w:r>
          </w:p>
        </w:tc>
        <w:tc>
          <w:tcPr>
            <w:tcW w:w="3118" w:type="dxa"/>
          </w:tcPr>
          <w:p w14:paraId="68EF548B" w14:textId="3CECE759" w:rsidR="00C04530" w:rsidRDefault="00C04530" w:rsidP="00E77849">
            <w:pPr>
              <w:jc w:val="both"/>
              <w:rPr>
                <w:szCs w:val="24"/>
              </w:rPr>
            </w:pPr>
            <w:r w:rsidRPr="00F51499">
              <w:rPr>
                <w:b/>
                <w:bCs/>
                <w:i/>
                <w:iCs/>
                <w:szCs w:val="24"/>
              </w:rPr>
              <w:lastRenderedPageBreak/>
              <w:t>Vykdoma</w:t>
            </w:r>
          </w:p>
          <w:p w14:paraId="4E74A6C8" w14:textId="0CA4CD05" w:rsidR="00C04530" w:rsidRPr="009319DB" w:rsidRDefault="00C04530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Registracijų ambulatorinėms paslaugoms gauti, atliekamų per IPR IS, procentinis dydis </w:t>
            </w:r>
            <w:r w:rsidRPr="009319DB">
              <w:rPr>
                <w:color w:val="000000" w:themeColor="text1"/>
                <w:szCs w:val="24"/>
              </w:rPr>
              <w:t>69,77 proc.</w:t>
            </w:r>
            <w:r w:rsidR="009319DB" w:rsidRPr="009319DB">
              <w:rPr>
                <w:color w:val="000000" w:themeColor="text1"/>
                <w:szCs w:val="24"/>
              </w:rPr>
              <w:t xml:space="preserve"> </w:t>
            </w:r>
          </w:p>
          <w:p w14:paraId="7CF84651" w14:textId="42B74DE2" w:rsidR="009319DB" w:rsidRDefault="009319DB">
            <w:pPr>
              <w:jc w:val="both"/>
              <w:rPr>
                <w:szCs w:val="24"/>
              </w:rPr>
            </w:pPr>
            <w:r w:rsidRPr="009319DB">
              <w:rPr>
                <w:color w:val="000000" w:themeColor="text1"/>
                <w:szCs w:val="24"/>
              </w:rPr>
              <w:t xml:space="preserve">Procentai skelbiami </w:t>
            </w:r>
            <w:r>
              <w:rPr>
                <w:color w:val="000000" w:themeColor="text1"/>
                <w:szCs w:val="24"/>
              </w:rPr>
              <w:t xml:space="preserve">švieslentėje </w:t>
            </w:r>
            <w:hyperlink r:id="rId10" w:history="1">
              <w:r w:rsidRPr="0054663C">
                <w:rPr>
                  <w:rStyle w:val="Hipersaitas"/>
                  <w:szCs w:val="24"/>
                </w:rPr>
                <w:t>https://osp.stat.gov.lt/pacientu-eiles</w:t>
              </w:r>
            </w:hyperlink>
            <w:r>
              <w:rPr>
                <w:color w:val="FF0000"/>
                <w:szCs w:val="24"/>
              </w:rPr>
              <w:t xml:space="preserve"> </w:t>
            </w:r>
          </w:p>
          <w:p w14:paraId="65C527E7" w14:textId="77777777" w:rsidR="00C04530" w:rsidRDefault="00C04530">
            <w:pPr>
              <w:jc w:val="both"/>
              <w:rPr>
                <w:szCs w:val="24"/>
              </w:rPr>
            </w:pPr>
          </w:p>
          <w:p w14:paraId="6FAF68EC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  <w:p w14:paraId="7122A497" w14:textId="77777777" w:rsidR="002714B0" w:rsidRDefault="002714B0">
            <w:pPr>
              <w:jc w:val="both"/>
              <w:rPr>
                <w:kern w:val="2"/>
                <w:szCs w:val="24"/>
              </w:rPr>
            </w:pPr>
          </w:p>
          <w:p w14:paraId="03A0789D" w14:textId="77777777" w:rsidR="002714B0" w:rsidRDefault="002714B0">
            <w:pPr>
              <w:jc w:val="both"/>
              <w:rPr>
                <w:kern w:val="2"/>
                <w:szCs w:val="24"/>
              </w:rPr>
            </w:pPr>
          </w:p>
          <w:p w14:paraId="2F4576BD" w14:textId="77777777" w:rsidR="002714B0" w:rsidRDefault="002714B0">
            <w:pPr>
              <w:jc w:val="both"/>
              <w:rPr>
                <w:kern w:val="2"/>
                <w:szCs w:val="24"/>
              </w:rPr>
            </w:pPr>
          </w:p>
          <w:p w14:paraId="68C3108C" w14:textId="77777777" w:rsidR="002714B0" w:rsidRDefault="002714B0">
            <w:pPr>
              <w:jc w:val="both"/>
              <w:rPr>
                <w:kern w:val="2"/>
                <w:szCs w:val="24"/>
              </w:rPr>
            </w:pPr>
          </w:p>
        </w:tc>
      </w:tr>
      <w:tr w:rsidR="00076676" w14:paraId="448552FD" w14:textId="77777777" w:rsidTr="00E77849">
        <w:tc>
          <w:tcPr>
            <w:tcW w:w="13887" w:type="dxa"/>
            <w:gridSpan w:val="6"/>
            <w:shd w:val="clear" w:color="auto" w:fill="auto"/>
          </w:tcPr>
          <w:p w14:paraId="54859B0C" w14:textId="77777777" w:rsidR="00076676" w:rsidRPr="00E77849" w:rsidRDefault="00471F1B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E77849">
              <w:rPr>
                <w:b/>
                <w:bCs/>
                <w:szCs w:val="24"/>
              </w:rPr>
              <w:lastRenderedPageBreak/>
              <w:t>2. UŽDAVINYS</w:t>
            </w:r>
          </w:p>
          <w:p w14:paraId="249A0A2E" w14:textId="77777777" w:rsidR="00076676" w:rsidRPr="00E77849" w:rsidRDefault="00471F1B">
            <w:pPr>
              <w:suppressAutoHyphens/>
              <w:jc w:val="center"/>
              <w:rPr>
                <w:szCs w:val="24"/>
              </w:rPr>
            </w:pPr>
            <w:r w:rsidRPr="00E77849">
              <w:rPr>
                <w:rFonts w:eastAsia="Calibri"/>
                <w:b/>
                <w:bCs/>
                <w:kern w:val="2"/>
                <w:szCs w:val="24"/>
              </w:rPr>
              <w:t xml:space="preserve">Didinti darbuotojų sąmoningumą </w:t>
            </w:r>
            <w:r w:rsidRPr="00E77849">
              <w:rPr>
                <w:b/>
                <w:bCs/>
                <w:kern w:val="2"/>
                <w:szCs w:val="24"/>
              </w:rPr>
              <w:t>pranešėjų apsaugos srityje, kuri laikytina viena iš svarbesnių kuriant korupcijai atsparią aplinką</w:t>
            </w:r>
          </w:p>
        </w:tc>
      </w:tr>
      <w:tr w:rsidR="00076676" w14:paraId="25A64C46" w14:textId="77777777" w:rsidTr="00E77849">
        <w:tc>
          <w:tcPr>
            <w:tcW w:w="696" w:type="dxa"/>
          </w:tcPr>
          <w:p w14:paraId="49CD8A4D" w14:textId="77777777" w:rsidR="00076676" w:rsidRDefault="00471F1B">
            <w:pPr>
              <w:jc w:val="both"/>
              <w:rPr>
                <w:kern w:val="2"/>
                <w:szCs w:val="24"/>
              </w:rPr>
            </w:pPr>
            <w:bookmarkStart w:id="1" w:name="_Hlk193281649"/>
            <w:r>
              <w:rPr>
                <w:kern w:val="2"/>
                <w:szCs w:val="24"/>
              </w:rPr>
              <w:t>2.1.</w:t>
            </w:r>
          </w:p>
        </w:tc>
        <w:tc>
          <w:tcPr>
            <w:tcW w:w="4686" w:type="dxa"/>
          </w:tcPr>
          <w:p w14:paraId="6D3F965E" w14:textId="7E628FB6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Skatinti darbuotojus suprasti pranešėjų apsaugos mechanizmo esmę ir jo veikimą. Stiprinti darbuotojų sąmoningumą, užtikrinant pranešėjų apsaugą, siekiant keisti institucinį požiūrį į pranešėjus, šalinti neigiamą požiūrį ir nuostatas dėl pranešimų teikimo apie neteisėtą ar nesąžiningą elgesį, organizuoti mokymus</w:t>
            </w:r>
            <w:r w:rsidR="002714B0">
              <w:rPr>
                <w:kern w:val="2"/>
                <w:szCs w:val="24"/>
              </w:rPr>
              <w:t>.</w:t>
            </w:r>
          </w:p>
        </w:tc>
        <w:tc>
          <w:tcPr>
            <w:tcW w:w="1576" w:type="dxa"/>
          </w:tcPr>
          <w:p w14:paraId="0E2D724D" w14:textId="77777777" w:rsidR="002C28A5" w:rsidRDefault="002C28A5" w:rsidP="002C28A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Atsakingas už korupcijai atsparios aplinkos kūrimą</w:t>
            </w:r>
          </w:p>
          <w:p w14:paraId="3B7891A7" w14:textId="2630289D" w:rsidR="00076676" w:rsidRDefault="00076676">
            <w:pPr>
              <w:jc w:val="both"/>
              <w:rPr>
                <w:color w:val="000000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 w14:paraId="292793F3" w14:textId="748AC500" w:rsidR="00076676" w:rsidRDefault="00F46907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6E63A92A" w14:textId="33983E1F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Didėjantis darbuotojų pasitikėjimas pranešėjų apsaugos mechanizmu skatins darbuotojus pranešti</w:t>
            </w:r>
            <w:r>
              <w:rPr>
                <w:color w:val="000000"/>
                <w:kern w:val="2"/>
                <w:szCs w:val="24"/>
              </w:rPr>
              <w:t xml:space="preserve"> apie galimus pažeidimus įstaigo</w:t>
            </w:r>
            <w:r w:rsidR="002714B0">
              <w:rPr>
                <w:color w:val="000000"/>
                <w:kern w:val="2"/>
                <w:szCs w:val="24"/>
              </w:rPr>
              <w:t>je</w:t>
            </w:r>
            <w:r>
              <w:rPr>
                <w:color w:val="000000"/>
                <w:kern w:val="2"/>
                <w:szCs w:val="24"/>
              </w:rPr>
              <w:t xml:space="preserve"> ir prisidėti prie skaidresnės sveikatos priežiūros sistemos.  </w:t>
            </w:r>
          </w:p>
        </w:tc>
        <w:tc>
          <w:tcPr>
            <w:tcW w:w="3118" w:type="dxa"/>
          </w:tcPr>
          <w:p w14:paraId="20529AD1" w14:textId="77777777" w:rsidR="00076676" w:rsidRDefault="00471F1B" w:rsidP="004423A3">
            <w:pPr>
              <w:suppressAutoHyphens/>
              <w:jc w:val="both"/>
              <w:rPr>
                <w:bCs/>
                <w:kern w:val="2"/>
                <w:szCs w:val="24"/>
              </w:rPr>
            </w:pPr>
            <w:r w:rsidRPr="008E5C19">
              <w:rPr>
                <w:bCs/>
                <w:kern w:val="2"/>
                <w:szCs w:val="24"/>
              </w:rPr>
              <w:t xml:space="preserve">Organizuotų mokymų, skaičius: 2024 m. </w:t>
            </w:r>
            <w:r w:rsidRPr="008E5C19">
              <w:rPr>
                <w:szCs w:val="24"/>
              </w:rPr>
              <w:t>–</w:t>
            </w:r>
            <w:r w:rsidRPr="008E5C19">
              <w:rPr>
                <w:bCs/>
                <w:kern w:val="2"/>
                <w:szCs w:val="24"/>
              </w:rPr>
              <w:t xml:space="preserve"> 1 vnt., </w:t>
            </w:r>
          </w:p>
          <w:p w14:paraId="1C0A03EB" w14:textId="418963C8" w:rsidR="008E5C19" w:rsidRPr="008E5C19" w:rsidRDefault="008E5C19" w:rsidP="008E5C19">
            <w:pPr>
              <w:suppressAutoHyphens/>
              <w:jc w:val="both"/>
              <w:rPr>
                <w:rFonts w:eastAsia="Calibri"/>
                <w:szCs w:val="24"/>
              </w:rPr>
            </w:pPr>
            <w:r w:rsidRPr="008E5C19">
              <w:rPr>
                <w:rFonts w:eastAsia="Calibri"/>
                <w:szCs w:val="24"/>
              </w:rPr>
              <w:t>Įstaigos duomenų valdymo sistemos priemonėmis nuolat primenama informacija apie STT parengtą e.</w:t>
            </w:r>
            <w:r w:rsidRPr="008E5C19">
              <w:rPr>
                <w:rFonts w:eastAsia="Calibri"/>
                <w:szCs w:val="24"/>
              </w:rPr>
              <w:t xml:space="preserve"> </w:t>
            </w:r>
            <w:r w:rsidRPr="008E5C19">
              <w:rPr>
                <w:rFonts w:eastAsia="Calibri"/>
                <w:szCs w:val="24"/>
              </w:rPr>
              <w:t>mokymų platformą korupcijos prevencijos tema.</w:t>
            </w:r>
          </w:p>
          <w:p w14:paraId="005DB2F0" w14:textId="6AB46311" w:rsidR="008E5C19" w:rsidRDefault="008E5C19" w:rsidP="004423A3">
            <w:pPr>
              <w:suppressAutoHyphens/>
              <w:jc w:val="both"/>
              <w:rPr>
                <w:szCs w:val="24"/>
              </w:rPr>
            </w:pPr>
          </w:p>
        </w:tc>
      </w:tr>
      <w:bookmarkEnd w:id="1"/>
      <w:tr w:rsidR="00076676" w14:paraId="55748374" w14:textId="77777777" w:rsidTr="00E77849">
        <w:tc>
          <w:tcPr>
            <w:tcW w:w="13887" w:type="dxa"/>
            <w:gridSpan w:val="6"/>
            <w:shd w:val="clear" w:color="auto" w:fill="auto"/>
          </w:tcPr>
          <w:p w14:paraId="77C8DDEA" w14:textId="77777777" w:rsidR="00076676" w:rsidRDefault="00471F1B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3. UŽDAVINYS</w:t>
            </w:r>
          </w:p>
          <w:p w14:paraId="6FF642FB" w14:textId="77777777" w:rsidR="00076676" w:rsidRDefault="00471F1B">
            <w:pPr>
              <w:jc w:val="center"/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>Tobulinti antikorupcinę aplinką ir valdyti interesų konfliktus</w:t>
            </w:r>
          </w:p>
        </w:tc>
      </w:tr>
      <w:tr w:rsidR="00076676" w14:paraId="71350F7E" w14:textId="77777777" w:rsidTr="00E77849">
        <w:tc>
          <w:tcPr>
            <w:tcW w:w="696" w:type="dxa"/>
          </w:tcPr>
          <w:p w14:paraId="71E3E51C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3.1.</w:t>
            </w:r>
          </w:p>
        </w:tc>
        <w:tc>
          <w:tcPr>
            <w:tcW w:w="4686" w:type="dxa"/>
          </w:tcPr>
          <w:p w14:paraId="4ED9598F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Kalendoriniams metams pasibaigus apibendrinti darbuotojų etikos taisyklių taikymo </w:t>
            </w:r>
            <w:r>
              <w:rPr>
                <w:kern w:val="2"/>
                <w:szCs w:val="24"/>
              </w:rPr>
              <w:t xml:space="preserve">dėl darbuotojų etikos taisyklių pažeidimo, etikos taisyklių nuostatų laikymosi kontrolės, etikos komisijos posėdžiuose priimtų sprendimų </w:t>
            </w:r>
            <w:r>
              <w:rPr>
                <w:rFonts w:eastAsia="Calibri"/>
                <w:kern w:val="2"/>
                <w:szCs w:val="24"/>
              </w:rPr>
              <w:t>rezultatus</w:t>
            </w:r>
            <w:r>
              <w:rPr>
                <w:kern w:val="2"/>
                <w:szCs w:val="24"/>
              </w:rPr>
              <w:t xml:space="preserve"> ir tai paviešinti įstaigos interneto svetainėje.  </w:t>
            </w:r>
          </w:p>
        </w:tc>
        <w:tc>
          <w:tcPr>
            <w:tcW w:w="1576" w:type="dxa"/>
          </w:tcPr>
          <w:p w14:paraId="034D9C7E" w14:textId="33607DE5" w:rsidR="00076676" w:rsidRDefault="002714B0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Etikos komisijos pirmininkė</w:t>
            </w:r>
          </w:p>
        </w:tc>
        <w:tc>
          <w:tcPr>
            <w:tcW w:w="1576" w:type="dxa"/>
          </w:tcPr>
          <w:p w14:paraId="6E2221EA" w14:textId="27DB7307" w:rsidR="00076676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2E7BF1BD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Atviresnė įstaigos veikla didins visuomenės pasitikėjimą sveikatos priežiūros įstaigomis ir pačia sveikatos priežiūros sistema.  </w:t>
            </w:r>
          </w:p>
        </w:tc>
        <w:tc>
          <w:tcPr>
            <w:tcW w:w="3118" w:type="dxa"/>
          </w:tcPr>
          <w:p w14:paraId="41201E80" w14:textId="38FBC0B9" w:rsidR="00E77849" w:rsidRPr="00F51499" w:rsidRDefault="009319DB" w:rsidP="00E77849">
            <w:pPr>
              <w:rPr>
                <w:b/>
                <w:bCs/>
              </w:rPr>
            </w:pPr>
            <w:r w:rsidRPr="00F51499">
              <w:rPr>
                <w:b/>
                <w:bCs/>
              </w:rPr>
              <w:t>Vykdoma</w:t>
            </w:r>
          </w:p>
          <w:p w14:paraId="74A17139" w14:textId="0FBCDD9A" w:rsidR="006B52DD" w:rsidRDefault="006B52DD" w:rsidP="006B52DD">
            <w:r>
              <w:t xml:space="preserve">Etikos komisijos posėdžiai kviečiami gavus darbuotojų kreipimąsi. </w:t>
            </w:r>
            <w:r w:rsidR="009319DB">
              <w:t xml:space="preserve">2024 m </w:t>
            </w:r>
            <w:r>
              <w:t>metais kreipimosi nebuvo.</w:t>
            </w:r>
            <w:r w:rsidR="009319DB">
              <w:t xml:space="preserve"> Etikos komisija į posėdžius nesirinko.</w:t>
            </w:r>
          </w:p>
          <w:p w14:paraId="638144B0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</w:tr>
      <w:tr w:rsidR="00076676" w14:paraId="535A0364" w14:textId="77777777" w:rsidTr="00E77849">
        <w:tc>
          <w:tcPr>
            <w:tcW w:w="696" w:type="dxa"/>
          </w:tcPr>
          <w:p w14:paraId="1BA042C5" w14:textId="77777777" w:rsidR="00076676" w:rsidRDefault="00471F1B">
            <w:pPr>
              <w:jc w:val="both"/>
              <w:rPr>
                <w:kern w:val="2"/>
                <w:szCs w:val="24"/>
              </w:rPr>
            </w:pPr>
            <w:bookmarkStart w:id="2" w:name="_Hlk192665605"/>
            <w:r>
              <w:rPr>
                <w:kern w:val="2"/>
                <w:szCs w:val="24"/>
              </w:rPr>
              <w:t>3.2.</w:t>
            </w:r>
          </w:p>
        </w:tc>
        <w:tc>
          <w:tcPr>
            <w:tcW w:w="4686" w:type="dxa"/>
          </w:tcPr>
          <w:p w14:paraId="6E2E4BEA" w14:textId="2A388543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Siekiant šalinti teisinio reguliavimo trūkumus, stiprinti darbuotojų antikorupcinį sąmoningumą, įstaigo</w:t>
            </w:r>
            <w:r w:rsidR="002714B0">
              <w:rPr>
                <w:kern w:val="2"/>
                <w:szCs w:val="24"/>
              </w:rPr>
              <w:t>je</w:t>
            </w:r>
            <w:r>
              <w:rPr>
                <w:kern w:val="2"/>
                <w:szCs w:val="24"/>
              </w:rPr>
              <w:t xml:space="preserve"> u</w:t>
            </w:r>
            <w:r>
              <w:rPr>
                <w:rFonts w:eastAsia="Calibri"/>
                <w:kern w:val="2"/>
                <w:szCs w:val="24"/>
              </w:rPr>
              <w:t>žtikrinti L</w:t>
            </w:r>
            <w:r>
              <w:rPr>
                <w:color w:val="000000"/>
                <w:kern w:val="2"/>
                <w:szCs w:val="24"/>
                <w:lang w:eastAsia="lt-LT"/>
              </w:rPr>
              <w:t xml:space="preserve">ietuvos Respublikos viešųjų ir privačių interesų derinimo įstatymo (toliau – Įstatymas) </w:t>
            </w:r>
            <w:r>
              <w:rPr>
                <w:color w:val="000000"/>
                <w:kern w:val="2"/>
                <w:szCs w:val="24"/>
                <w:lang w:eastAsia="lt-LT"/>
              </w:rPr>
              <w:lastRenderedPageBreak/>
              <w:t>laikymosi kontrolę ir priežiūrą, vadovaujantis Įstatymo ir Vyriausiosios tarnybinės etikos komisijos (toliau – VTEK) r</w:t>
            </w:r>
            <w:r>
              <w:rPr>
                <w:color w:val="000000"/>
                <w:kern w:val="2"/>
                <w:szCs w:val="24"/>
              </w:rPr>
              <w:t>ekomendacijų dėl Lietuvos Respublikos viešųjų ir privačių interesų derinimo įstatymo laikymosi kontrolės ir priežiūros, patvirtintų 2021 m. lapkričio 24 d. VTEK sprendimu Nr.  KS-332 „Dėl rekomendacijų dėl Lietuvos Respublikos viešųjų ir privačių interesų derinimo įstatymo laikymosi kontrolės ir priežiūros patvirtinimo“, (toliau – Rekomendacijos) nuostatomis, apie atliktus veiksmus, informuojant įstaigos vadovą.</w:t>
            </w:r>
          </w:p>
        </w:tc>
        <w:tc>
          <w:tcPr>
            <w:tcW w:w="1576" w:type="dxa"/>
          </w:tcPr>
          <w:p w14:paraId="4EAF8A55" w14:textId="1E48FF2D" w:rsidR="002714B0" w:rsidRDefault="002714B0" w:rsidP="002714B0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lastRenderedPageBreak/>
              <w:t xml:space="preserve">Personalo </w:t>
            </w:r>
            <w:r w:rsidR="006F2ACF">
              <w:rPr>
                <w:kern w:val="2"/>
                <w:szCs w:val="24"/>
                <w:lang w:eastAsia="lt-LT"/>
              </w:rPr>
              <w:t>specialistas</w:t>
            </w:r>
          </w:p>
          <w:p w14:paraId="012353BC" w14:textId="17CA807A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1576" w:type="dxa"/>
          </w:tcPr>
          <w:p w14:paraId="0E99956F" w14:textId="5FBE3DE7" w:rsidR="00076676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35067BE5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 xml:space="preserve">Sudarytos sąlygos atskleisti deklaruojančių asmenų privačius interesus, užtikrinti, </w:t>
            </w:r>
            <w:r>
              <w:rPr>
                <w:color w:val="000000"/>
                <w:kern w:val="2"/>
                <w:szCs w:val="24"/>
              </w:rPr>
              <w:lastRenderedPageBreak/>
              <w:t>kad priimant sprendimus pirmenybė būtų teikiama viešiesiems interesams, ir užkirsti kelią kilti interesų konfliktams bei plisti korupcijai.</w:t>
            </w:r>
          </w:p>
        </w:tc>
        <w:tc>
          <w:tcPr>
            <w:tcW w:w="3118" w:type="dxa"/>
          </w:tcPr>
          <w:p w14:paraId="5CEF4A2F" w14:textId="2D1D4AA8" w:rsidR="00E77849" w:rsidRPr="00F51499" w:rsidRDefault="00BA12C0" w:rsidP="00E77849">
            <w:pPr>
              <w:jc w:val="both"/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F51499">
              <w:rPr>
                <w:rFonts w:eastAsia="Calibri"/>
                <w:b/>
                <w:bCs/>
                <w:i/>
                <w:iCs/>
                <w:szCs w:val="24"/>
              </w:rPr>
              <w:lastRenderedPageBreak/>
              <w:t>Vykdoma</w:t>
            </w:r>
          </w:p>
          <w:p w14:paraId="61CC6D94" w14:textId="23BC549F" w:rsidR="00F51499" w:rsidRPr="00A20564" w:rsidRDefault="00F51499" w:rsidP="002714B0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Asmuo, atsakingas už viešų ir privačių interesų derinimo įstatymo laikymąsi, nuolat informuoja darbuotojus, </w:t>
            </w:r>
            <w:r>
              <w:rPr>
                <w:rFonts w:eastAsia="Calibri"/>
                <w:szCs w:val="24"/>
              </w:rPr>
              <w:lastRenderedPageBreak/>
              <w:t>privalančius deklaruoti privačius interesus, apie jų prievolę pateikti deklaraciją, ją atnaujinti ir papildyti, suteikia rekomendacijas dėl deklaracijos pildymo.</w:t>
            </w:r>
          </w:p>
          <w:p w14:paraId="2C444D66" w14:textId="0B072EFB" w:rsidR="00076676" w:rsidRPr="002714B0" w:rsidRDefault="00BA12C0" w:rsidP="002714B0">
            <w:pPr>
              <w:jc w:val="both"/>
              <w:rPr>
                <w:rFonts w:eastAsia="Calibri"/>
                <w:szCs w:val="24"/>
              </w:rPr>
            </w:pPr>
            <w:r w:rsidRPr="00A20564">
              <w:rPr>
                <w:rFonts w:eastAsia="Calibri"/>
                <w:szCs w:val="24"/>
              </w:rPr>
              <w:t xml:space="preserve">2024 metais darbuotojai, kuriems taikoma pareiga deklaruoti privačius interesus, pateikę savo privačių interesų deklaracijas Vyriausiosios tarnybinės etikos komisijos (VTEK) Privačių interesų </w:t>
            </w:r>
            <w:r w:rsidRPr="006B52DD">
              <w:rPr>
                <w:rFonts w:eastAsia="Calibri"/>
                <w:szCs w:val="24"/>
              </w:rPr>
              <w:t xml:space="preserve">registre PINREG </w:t>
            </w:r>
            <w:r w:rsidR="00A20564" w:rsidRPr="006B52DD">
              <w:rPr>
                <w:rFonts w:eastAsia="Calibri"/>
                <w:szCs w:val="24"/>
              </w:rPr>
              <w:t>8 darbuotojai.</w:t>
            </w:r>
          </w:p>
        </w:tc>
      </w:tr>
      <w:bookmarkEnd w:id="2"/>
      <w:tr w:rsidR="00076676" w14:paraId="08A29197" w14:textId="77777777" w:rsidTr="00E77849">
        <w:tc>
          <w:tcPr>
            <w:tcW w:w="696" w:type="dxa"/>
          </w:tcPr>
          <w:p w14:paraId="13FDB09E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3.7.</w:t>
            </w:r>
          </w:p>
        </w:tc>
        <w:tc>
          <w:tcPr>
            <w:tcW w:w="4686" w:type="dxa"/>
          </w:tcPr>
          <w:p w14:paraId="066D645C" w14:textId="19E948D9" w:rsidR="00076676" w:rsidRDefault="00471F1B">
            <w:pPr>
              <w:jc w:val="both"/>
              <w:rPr>
                <w:color w:val="000000"/>
                <w:spacing w:val="3"/>
                <w:kern w:val="2"/>
                <w:szCs w:val="24"/>
                <w:shd w:val="clear" w:color="auto" w:fill="FFFFFF"/>
              </w:rPr>
            </w:pPr>
            <w:bookmarkStart w:id="3" w:name="_Hlk192837510"/>
            <w:r>
              <w:rPr>
                <w:kern w:val="2"/>
                <w:szCs w:val="24"/>
              </w:rPr>
              <w:t>Periodiškai organizuoti mokymus darbuotojams,</w:t>
            </w:r>
            <w:r>
              <w:rPr>
                <w:rFonts w:eastAsia="Calibri"/>
                <w:kern w:val="2"/>
                <w:szCs w:val="24"/>
              </w:rPr>
              <w:t xml:space="preserve"> padedant formuoti korupcijai atsparią aplinką ir </w:t>
            </w:r>
            <w:r>
              <w:rPr>
                <w:kern w:val="2"/>
                <w:szCs w:val="24"/>
              </w:rPr>
              <w:t xml:space="preserve">siekiant stiprinti darbuotojų antikorupcines kompetencijas. </w:t>
            </w:r>
            <w:bookmarkEnd w:id="3"/>
          </w:p>
        </w:tc>
        <w:tc>
          <w:tcPr>
            <w:tcW w:w="1576" w:type="dxa"/>
          </w:tcPr>
          <w:p w14:paraId="50CB3713" w14:textId="06A653D3" w:rsidR="007F37F7" w:rsidRDefault="002C28A5" w:rsidP="007F37F7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Atsakingas už korupcijai atsparios aplinkos kūrimą</w:t>
            </w:r>
          </w:p>
          <w:p w14:paraId="4D01F852" w14:textId="77777777" w:rsidR="00076676" w:rsidRDefault="00076676" w:rsidP="007F37F7">
            <w:pPr>
              <w:jc w:val="both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1576" w:type="dxa"/>
          </w:tcPr>
          <w:p w14:paraId="7810480D" w14:textId="2EB1A803" w:rsidR="00076676" w:rsidRDefault="00F46907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23A91648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Didesnis darbuotojų sąmoningumas korupcijos prevencijos klausimais. </w:t>
            </w:r>
          </w:p>
        </w:tc>
        <w:tc>
          <w:tcPr>
            <w:tcW w:w="3118" w:type="dxa"/>
          </w:tcPr>
          <w:p w14:paraId="73107CD7" w14:textId="57C5D384" w:rsidR="00E77849" w:rsidRPr="00F51499" w:rsidRDefault="00A20564" w:rsidP="00E77849">
            <w:pPr>
              <w:suppressAutoHyphens/>
              <w:jc w:val="both"/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F51499">
              <w:rPr>
                <w:rFonts w:eastAsia="Calibri"/>
                <w:b/>
                <w:bCs/>
                <w:i/>
                <w:iCs/>
                <w:szCs w:val="24"/>
              </w:rPr>
              <w:t>Vykdoma</w:t>
            </w:r>
          </w:p>
          <w:p w14:paraId="0F36D234" w14:textId="5B50498A" w:rsidR="00F51499" w:rsidRDefault="00A20564" w:rsidP="00E77849">
            <w:pPr>
              <w:suppressAutoHyphens/>
              <w:jc w:val="both"/>
              <w:rPr>
                <w:rFonts w:eastAsia="Calibri"/>
                <w:szCs w:val="24"/>
              </w:rPr>
            </w:pPr>
            <w:r w:rsidRPr="006B52DD">
              <w:rPr>
                <w:rFonts w:eastAsia="Calibri"/>
                <w:szCs w:val="24"/>
              </w:rPr>
              <w:t xml:space="preserve">Atsakingas už korupcijai atsparios aplinkos kūrimą </w:t>
            </w:r>
            <w:r>
              <w:rPr>
                <w:rFonts w:eastAsia="Calibri"/>
                <w:szCs w:val="24"/>
              </w:rPr>
              <w:t xml:space="preserve">įstaigoje </w:t>
            </w:r>
            <w:r w:rsidR="002C28A5">
              <w:rPr>
                <w:rFonts w:eastAsia="Calibri"/>
                <w:szCs w:val="24"/>
              </w:rPr>
              <w:t xml:space="preserve">dalyvavo STT organizuotuose mokymuose 2024 m. vasario 13 d. „Personalo patikimumo užtikrinimas“, 2024 m. kovo 19 d. „Korupcijos pasireiškimo tikimybės nustatymas“, </w:t>
            </w:r>
            <w:r>
              <w:rPr>
                <w:rFonts w:eastAsia="Calibri"/>
                <w:szCs w:val="24"/>
              </w:rPr>
              <w:t>2024 m. balandžio 16 d „Korupcijos prevencijos veiksmų planų rengimas“, 2024 m. spalio 16 d. „Korupcijos samprata ir pasireiškimas Lietuvoje</w:t>
            </w:r>
            <w:r w:rsidR="002C28A5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“ Dovanų politika“, „Skaidrumo akademijos“ organizuotuose mokymuose 2024 m. balandžio 23 d. „Pranešimai apie negeroves: </w:t>
            </w:r>
            <w:r>
              <w:rPr>
                <w:rFonts w:eastAsia="Calibri"/>
                <w:szCs w:val="24"/>
              </w:rPr>
              <w:lastRenderedPageBreak/>
              <w:t>nuo teorijos iki praktikos“</w:t>
            </w:r>
            <w:r w:rsidR="002C28A5">
              <w:rPr>
                <w:rFonts w:eastAsia="Calibri"/>
                <w:szCs w:val="24"/>
              </w:rPr>
              <w:t>, 2024 m. vasario 8 d. „Antikorupcijos standartas ISO 37001. Kas tai ir kaip ji veikia praktikoje“.</w:t>
            </w:r>
          </w:p>
          <w:p w14:paraId="5619A7FC" w14:textId="11AFFBFD" w:rsidR="00A20564" w:rsidRPr="00F51499" w:rsidRDefault="00F51499" w:rsidP="00292AB6">
            <w:pPr>
              <w:suppressAutoHyphens/>
              <w:jc w:val="both"/>
              <w:rPr>
                <w:rFonts w:eastAsia="Calibri"/>
                <w:color w:val="FF0000"/>
                <w:szCs w:val="24"/>
              </w:rPr>
            </w:pPr>
            <w:bookmarkStart w:id="4" w:name="_Hlk192834149"/>
            <w:r w:rsidRPr="008E5C19">
              <w:rPr>
                <w:rFonts w:eastAsia="Calibri"/>
                <w:szCs w:val="24"/>
              </w:rPr>
              <w:t>Įstaigos monitoriuose rodomas filmukas apie korupciją</w:t>
            </w:r>
            <w:r w:rsidR="008E5C19">
              <w:rPr>
                <w:rFonts w:eastAsia="Calibri"/>
                <w:szCs w:val="24"/>
              </w:rPr>
              <w:t>.</w:t>
            </w:r>
            <w:bookmarkEnd w:id="4"/>
          </w:p>
          <w:p w14:paraId="3BB0CC83" w14:textId="77777777" w:rsidR="00076676" w:rsidRDefault="00076676" w:rsidP="002C28A5">
            <w:pPr>
              <w:suppressAutoHyphens/>
              <w:jc w:val="both"/>
              <w:rPr>
                <w:color w:val="000000"/>
                <w:spacing w:val="3"/>
                <w:kern w:val="2"/>
                <w:szCs w:val="24"/>
                <w:shd w:val="clear" w:color="auto" w:fill="FFFFFF"/>
              </w:rPr>
            </w:pPr>
          </w:p>
        </w:tc>
      </w:tr>
      <w:tr w:rsidR="00076676" w14:paraId="7E11B0EE" w14:textId="77777777" w:rsidTr="00E77849">
        <w:trPr>
          <w:trHeight w:val="723"/>
        </w:trPr>
        <w:tc>
          <w:tcPr>
            <w:tcW w:w="13887" w:type="dxa"/>
            <w:gridSpan w:val="6"/>
            <w:shd w:val="clear" w:color="auto" w:fill="auto"/>
          </w:tcPr>
          <w:p w14:paraId="5FB7F2B8" w14:textId="77777777" w:rsidR="00076676" w:rsidRDefault="00471F1B">
            <w:pPr>
              <w:jc w:val="center"/>
              <w:rPr>
                <w:b/>
                <w:bCs/>
                <w:kern w:val="2"/>
                <w:szCs w:val="24"/>
              </w:rPr>
            </w:pPr>
            <w:bookmarkStart w:id="5" w:name="_Hlk192681936"/>
            <w:r>
              <w:rPr>
                <w:b/>
                <w:bCs/>
                <w:kern w:val="2"/>
                <w:szCs w:val="24"/>
              </w:rPr>
              <w:lastRenderedPageBreak/>
              <w:t>4. UŽDAVINYS</w:t>
            </w:r>
          </w:p>
          <w:p w14:paraId="2EE764C5" w14:textId="77777777" w:rsidR="00076676" w:rsidRDefault="00471F1B">
            <w:pPr>
              <w:jc w:val="center"/>
              <w:rPr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>Gerinti administracinių ir viešųjų paslaugų kokybę, didinti sprendimų ir procedūrų skaidrumą</w:t>
            </w:r>
          </w:p>
        </w:tc>
      </w:tr>
      <w:tr w:rsidR="00076676" w14:paraId="09B1701D" w14:textId="77777777" w:rsidTr="00E77849">
        <w:trPr>
          <w:trHeight w:val="4247"/>
        </w:trPr>
        <w:tc>
          <w:tcPr>
            <w:tcW w:w="696" w:type="dxa"/>
          </w:tcPr>
          <w:p w14:paraId="07BD92BA" w14:textId="77777777" w:rsidR="00076676" w:rsidRDefault="00471F1B">
            <w:pPr>
              <w:jc w:val="both"/>
              <w:rPr>
                <w:kern w:val="2"/>
                <w:szCs w:val="24"/>
              </w:rPr>
            </w:pPr>
            <w:bookmarkStart w:id="6" w:name="_Hlk192664723"/>
            <w:r>
              <w:rPr>
                <w:kern w:val="2"/>
                <w:szCs w:val="24"/>
              </w:rPr>
              <w:t>4.1.</w:t>
            </w:r>
          </w:p>
        </w:tc>
        <w:tc>
          <w:tcPr>
            <w:tcW w:w="4686" w:type="dxa"/>
          </w:tcPr>
          <w:p w14:paraId="0EB28B37" w14:textId="2FD0CED3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 xml:space="preserve">Viešosioms ASPĮ, sudariusioms sutartis su TLK dėl paslaugų teikimo ir jų apmokėjimo PSDF biudžeto lėšomis, pildyti informaciją apie pacientams suteiktas mokamas paslaugas statistinėse formose </w:t>
            </w:r>
            <w:r w:rsidRPr="002C28A5">
              <w:rPr>
                <w:kern w:val="2"/>
                <w:szCs w:val="24"/>
              </w:rPr>
              <w:t xml:space="preserve">Nr. 066/a-LK „Stacionare gydomo asmens statistinė kortelė“ ir 025/a-LK „Asmens ambulatorinio gydymo statistinė </w:t>
            </w:r>
            <w:r>
              <w:rPr>
                <w:color w:val="000000"/>
                <w:kern w:val="2"/>
                <w:szCs w:val="24"/>
              </w:rPr>
              <w:t>kortelė“</w:t>
            </w:r>
            <w:r>
              <w:rPr>
                <w:color w:val="000000"/>
                <w:kern w:val="2"/>
                <w:szCs w:val="24"/>
                <w:shd w:val="clear" w:color="auto" w:fill="FFFFFF"/>
              </w:rPr>
              <w:t>.</w:t>
            </w:r>
          </w:p>
        </w:tc>
        <w:tc>
          <w:tcPr>
            <w:tcW w:w="1576" w:type="dxa"/>
          </w:tcPr>
          <w:p w14:paraId="67FA2520" w14:textId="77777777" w:rsidR="00076676" w:rsidRDefault="007F37F7" w:rsidP="007F37F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Vyriausiasis buhalteris,</w:t>
            </w:r>
          </w:p>
          <w:p w14:paraId="20814552" w14:textId="117467D1" w:rsidR="007F37F7" w:rsidRDefault="007F37F7" w:rsidP="007F37F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Sveikatos statistikas</w:t>
            </w:r>
          </w:p>
        </w:tc>
        <w:tc>
          <w:tcPr>
            <w:tcW w:w="1576" w:type="dxa"/>
          </w:tcPr>
          <w:p w14:paraId="781BC9DB" w14:textId="7087565A" w:rsidR="00076676" w:rsidRDefault="00F46907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 xml:space="preserve">2024 m. IV ketv. </w:t>
            </w:r>
          </w:p>
        </w:tc>
        <w:tc>
          <w:tcPr>
            <w:tcW w:w="2235" w:type="dxa"/>
          </w:tcPr>
          <w:p w14:paraId="5D1BD70F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 xml:space="preserve">2025 m. viešųjų ASPĮ į „Sveidrą“ įvestų duomenų sumų (Eur), už kurias pacientams buvo suteikta mokamų paslaugų, vidurkis – </w:t>
            </w:r>
            <w:bookmarkStart w:id="7" w:name="_Hlk193116754"/>
            <w:r>
              <w:rPr>
                <w:color w:val="000000"/>
                <w:szCs w:val="24"/>
                <w:lang w:eastAsia="lt-LT"/>
              </w:rPr>
              <w:t>ne mažiau nei  85 proc</w:t>
            </w:r>
            <w:bookmarkEnd w:id="7"/>
            <w:r>
              <w:rPr>
                <w:color w:val="000000"/>
                <w:szCs w:val="24"/>
                <w:lang w:eastAsia="lt-LT"/>
              </w:rPr>
              <w:t xml:space="preserve">. analogiškų sumų, nurodytų viešųjų ASPĮ finansinėse veiklos ataskaitose, vidurkio. </w:t>
            </w:r>
          </w:p>
        </w:tc>
        <w:tc>
          <w:tcPr>
            <w:tcW w:w="3118" w:type="dxa"/>
          </w:tcPr>
          <w:p w14:paraId="01C75EB2" w14:textId="32222420" w:rsidR="00F51499" w:rsidRDefault="00F51499" w:rsidP="00E77849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 w:rsidRPr="00F51499">
              <w:rPr>
                <w:b/>
                <w:bCs/>
                <w:i/>
                <w:iCs/>
                <w:color w:val="000000" w:themeColor="text1"/>
                <w:szCs w:val="24"/>
                <w:lang w:eastAsia="lt-LT"/>
              </w:rPr>
              <w:t>Vykdoma</w:t>
            </w:r>
          </w:p>
          <w:p w14:paraId="77BFF3D6" w14:textId="4EF85C2F" w:rsidR="00F51499" w:rsidRPr="00F51499" w:rsidRDefault="00F51499" w:rsidP="00432AA9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Informacija pildoma statistinėse formose apie pacientams suteiktas mokamas paslaugas, vykdoma šių duomenų stebėsena</w:t>
            </w:r>
            <w:r w:rsidR="005B2BB8">
              <w:rPr>
                <w:color w:val="000000" w:themeColor="text1"/>
                <w:szCs w:val="24"/>
                <w:lang w:eastAsia="lt-LT"/>
              </w:rPr>
              <w:t xml:space="preserve">. 2024 m. </w:t>
            </w:r>
            <w:r w:rsidR="00432AA9">
              <w:rPr>
                <w:color w:val="000000" w:themeColor="text1"/>
                <w:szCs w:val="24"/>
                <w:lang w:eastAsia="lt-LT"/>
              </w:rPr>
              <w:t xml:space="preserve">pasiektas </w:t>
            </w:r>
            <w:r w:rsidR="00432AA9" w:rsidRPr="00432AA9">
              <w:rPr>
                <w:color w:val="000000" w:themeColor="text1"/>
                <w:szCs w:val="24"/>
                <w:lang w:eastAsia="lt-LT"/>
              </w:rPr>
              <w:t>rodikl</w:t>
            </w:r>
            <w:r w:rsidR="00432AA9">
              <w:rPr>
                <w:color w:val="000000" w:themeColor="text1"/>
                <w:szCs w:val="24"/>
                <w:lang w:eastAsia="lt-LT"/>
              </w:rPr>
              <w:t>is</w:t>
            </w:r>
            <w:r w:rsidR="00432AA9" w:rsidRPr="00432AA9">
              <w:rPr>
                <w:color w:val="000000" w:themeColor="text1"/>
                <w:szCs w:val="24"/>
                <w:lang w:eastAsia="lt-LT"/>
              </w:rPr>
              <w:t xml:space="preserve"> 61,42 proc.</w:t>
            </w:r>
          </w:p>
          <w:p w14:paraId="41D7AA6A" w14:textId="237816AE" w:rsidR="00076676" w:rsidRDefault="00471F1B" w:rsidP="00E500FC">
            <w:pPr>
              <w:jc w:val="both"/>
              <w:rPr>
                <w:kern w:val="2"/>
                <w:szCs w:val="24"/>
              </w:rPr>
            </w:pPr>
            <w:r w:rsidRPr="00F51499">
              <w:rPr>
                <w:color w:val="000000" w:themeColor="text1"/>
                <w:szCs w:val="24"/>
                <w:lang w:eastAsia="lt-LT"/>
              </w:rPr>
              <w:t xml:space="preserve"> </w:t>
            </w:r>
          </w:p>
        </w:tc>
      </w:tr>
      <w:bookmarkEnd w:id="6"/>
      <w:tr w:rsidR="00076676" w14:paraId="282A3619" w14:textId="77777777" w:rsidTr="00E77849">
        <w:tc>
          <w:tcPr>
            <w:tcW w:w="696" w:type="dxa"/>
          </w:tcPr>
          <w:p w14:paraId="7726C693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4.2.</w:t>
            </w:r>
          </w:p>
        </w:tc>
        <w:tc>
          <w:tcPr>
            <w:tcW w:w="4686" w:type="dxa"/>
          </w:tcPr>
          <w:p w14:paraId="259CDE87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color w:val="000000"/>
                <w:kern w:val="2"/>
                <w:szCs w:val="24"/>
              </w:rPr>
              <w:t>Taikyti įstaigos paramos gavimo ir teikimo apskaitos ir viešinimo sistemą pagal Ministerijos nustatytą tvarką, patvirtintą sveikatos apsaugos ministro 2022 m. liepos 25 d. įsakymu Nr. V-1270 „</w:t>
            </w:r>
            <w:r>
              <w:rPr>
                <w:color w:val="000000"/>
                <w:kern w:val="2"/>
                <w:szCs w:val="24"/>
              </w:rPr>
              <w:t xml:space="preserve">Dėl </w:t>
            </w:r>
            <w:r>
              <w:rPr>
                <w:bCs/>
                <w:kern w:val="2"/>
                <w:szCs w:val="24"/>
                <w:lang w:eastAsia="lt-LT"/>
              </w:rPr>
              <w:t xml:space="preserve">rekomendacijų dėl </w:t>
            </w:r>
            <w:r>
              <w:rPr>
                <w:bCs/>
                <w:kern w:val="16"/>
                <w:szCs w:val="24"/>
              </w:rPr>
              <w:t xml:space="preserve">asmens </w:t>
            </w:r>
            <w:r>
              <w:rPr>
                <w:bCs/>
                <w:color w:val="000000"/>
                <w:kern w:val="2"/>
                <w:szCs w:val="24"/>
              </w:rPr>
              <w:t xml:space="preserve">sveikatos priežiūros įstaigų </w:t>
            </w:r>
            <w:r>
              <w:rPr>
                <w:bCs/>
                <w:kern w:val="2"/>
                <w:szCs w:val="24"/>
                <w:lang w:eastAsia="lt-LT"/>
              </w:rPr>
              <w:t>paramos gavimo ir teikimo apskaitos ir viešinimo sistemos taikymo“.</w:t>
            </w:r>
          </w:p>
        </w:tc>
        <w:tc>
          <w:tcPr>
            <w:tcW w:w="1576" w:type="dxa"/>
          </w:tcPr>
          <w:p w14:paraId="7E878543" w14:textId="301051CE" w:rsidR="007F37F7" w:rsidRDefault="007F37F7" w:rsidP="007F37F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Vyriausiasis buhalteris</w:t>
            </w:r>
          </w:p>
          <w:p w14:paraId="58554C1E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1576" w:type="dxa"/>
          </w:tcPr>
          <w:p w14:paraId="0EF361CC" w14:textId="4C95CDBD" w:rsidR="00076676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29FB81B0" w14:textId="565F97E5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ASPĮ išsamiai atskleidžiama visa informacija, susijusi su gaunama ir teikiama parama,  skaidresnis šios veiklos vykdymas.   </w:t>
            </w:r>
          </w:p>
        </w:tc>
        <w:tc>
          <w:tcPr>
            <w:tcW w:w="3118" w:type="dxa"/>
          </w:tcPr>
          <w:p w14:paraId="386A5B6A" w14:textId="62D0B62A" w:rsidR="00E77849" w:rsidRPr="00F51499" w:rsidRDefault="005C6A29" w:rsidP="00E77849">
            <w:pPr>
              <w:jc w:val="both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F51499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Vykdoma</w:t>
            </w:r>
          </w:p>
          <w:p w14:paraId="20E28612" w14:textId="23B7661D" w:rsidR="005C6A29" w:rsidRPr="005C6A29" w:rsidRDefault="005C6A29">
            <w:pPr>
              <w:jc w:val="both"/>
              <w:rPr>
                <w:rFonts w:eastAsia="Calibri"/>
                <w:color w:val="FF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Nurodyta informacija skelbiama įstaigos interneto </w:t>
            </w:r>
            <w:r w:rsidRPr="006B52DD">
              <w:rPr>
                <w:rFonts w:eastAsia="Calibri"/>
                <w:szCs w:val="24"/>
              </w:rPr>
              <w:t xml:space="preserve">svetainėje </w:t>
            </w:r>
            <w:hyperlink r:id="rId11" w:history="1">
              <w:r w:rsidRPr="009903D1">
                <w:rPr>
                  <w:rStyle w:val="Hipersaitas"/>
                  <w:rFonts w:eastAsia="Calibri"/>
                  <w:szCs w:val="24"/>
                </w:rPr>
                <w:t>https://www.pspcvilkaviskis.lt/paramos-panaudojimo-ataskaitos/</w:t>
              </w:r>
            </w:hyperlink>
            <w:r>
              <w:rPr>
                <w:rFonts w:eastAsia="Calibri"/>
                <w:color w:val="FF0000"/>
                <w:szCs w:val="24"/>
              </w:rPr>
              <w:t xml:space="preserve"> </w:t>
            </w:r>
          </w:p>
          <w:p w14:paraId="2C53DBF6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</w:tr>
      <w:bookmarkEnd w:id="5"/>
      <w:tr w:rsidR="00076676" w14:paraId="6DE85864" w14:textId="77777777" w:rsidTr="00E77849">
        <w:tc>
          <w:tcPr>
            <w:tcW w:w="696" w:type="dxa"/>
          </w:tcPr>
          <w:p w14:paraId="766A2CBA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4.3.</w:t>
            </w:r>
          </w:p>
        </w:tc>
        <w:tc>
          <w:tcPr>
            <w:tcW w:w="4686" w:type="dxa"/>
          </w:tcPr>
          <w:p w14:paraId="6242DEFE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Užtikrinti Lietuvos Respublikos sveikatos apsaugos ministro 2008 m. birželio 28 d. įsakymo Nr. V-363 „Dėl Siuntimų asmens sveikatos priežiūros paslaugoms gauti išdavimo, įforminimo ir atsakymų pateikimo tvarkos aprašo patvirtinimo“ 14 punkto</w:t>
            </w:r>
            <w:r>
              <w:rPr>
                <w:color w:val="FF0000"/>
                <w:kern w:val="2"/>
                <w:szCs w:val="24"/>
              </w:rPr>
              <w:t xml:space="preserve"> </w:t>
            </w:r>
            <w:r>
              <w:rPr>
                <w:kern w:val="2"/>
                <w:szCs w:val="24"/>
              </w:rPr>
              <w:t xml:space="preserve">nuostatos, kad siunčiantis specialistas pacientui rekomenduotų bent 3 gydymo įstaigas, kuriose teikiamos atitinkamos asmens sveikatos priežiūros paslaugos, laikymąsi, taip sudarant sąlygas greičiau gauti jam reikalingas paslaugas.   </w:t>
            </w:r>
          </w:p>
        </w:tc>
        <w:tc>
          <w:tcPr>
            <w:tcW w:w="1576" w:type="dxa"/>
          </w:tcPr>
          <w:p w14:paraId="3A71A731" w14:textId="3FE4936C" w:rsidR="00076676" w:rsidRDefault="006F2ACF">
            <w:pPr>
              <w:jc w:val="both"/>
              <w:rPr>
                <w:kern w:val="2"/>
                <w:szCs w:val="24"/>
              </w:rPr>
            </w:pPr>
            <w:r w:rsidRPr="004C11AD">
              <w:rPr>
                <w:rFonts w:eastAsia="Calibri"/>
                <w:kern w:val="2"/>
                <w:szCs w:val="24"/>
                <w:lang w:eastAsia="lt-LT"/>
              </w:rPr>
              <w:t>Medicinos auditorius</w:t>
            </w:r>
          </w:p>
        </w:tc>
        <w:tc>
          <w:tcPr>
            <w:tcW w:w="1576" w:type="dxa"/>
          </w:tcPr>
          <w:p w14:paraId="4EB3329E" w14:textId="42F2CCE7" w:rsidR="00076676" w:rsidRDefault="00F46907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4BA9BF06" w14:textId="77777777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 xml:space="preserve">Sudarytos sąlygos pacientams greičiau gauti paslaugas, informuojant pacientą apie teisę rinktis.    </w:t>
            </w:r>
          </w:p>
        </w:tc>
        <w:tc>
          <w:tcPr>
            <w:tcW w:w="3118" w:type="dxa"/>
          </w:tcPr>
          <w:p w14:paraId="682B5696" w14:textId="77777777" w:rsidR="004C11AD" w:rsidRPr="004C11AD" w:rsidRDefault="004C11AD" w:rsidP="004C11AD">
            <w:pPr>
              <w:spacing w:line="247" w:lineRule="auto"/>
              <w:ind w:left="7" w:right="25"/>
              <w:jc w:val="both"/>
              <w:rPr>
                <w:b/>
                <w:bCs/>
                <w:i/>
                <w:iCs/>
                <w:szCs w:val="24"/>
              </w:rPr>
            </w:pPr>
            <w:r w:rsidRPr="004C11AD">
              <w:rPr>
                <w:b/>
                <w:bCs/>
                <w:i/>
                <w:iCs/>
                <w:szCs w:val="24"/>
              </w:rPr>
              <w:t>Vykdoma nuolatos,</w:t>
            </w:r>
          </w:p>
          <w:p w14:paraId="5F5FDEB1" w14:textId="6E2A6CBB" w:rsidR="004C11AD" w:rsidRPr="004C11AD" w:rsidRDefault="004C11AD" w:rsidP="004C11AD">
            <w:pPr>
              <w:spacing w:line="247" w:lineRule="auto"/>
              <w:ind w:left="7" w:right="25"/>
              <w:jc w:val="both"/>
              <w:rPr>
                <w:szCs w:val="24"/>
              </w:rPr>
            </w:pPr>
            <w:r w:rsidRPr="004C11AD">
              <w:rPr>
                <w:b/>
                <w:bCs/>
                <w:i/>
                <w:iCs/>
                <w:szCs w:val="24"/>
              </w:rPr>
              <w:t xml:space="preserve"> </w:t>
            </w:r>
            <w:r w:rsidRPr="004C11AD">
              <w:rPr>
                <w:szCs w:val="24"/>
              </w:rPr>
              <w:t>įstaigos specialistai išduodami siuntimą pacientui, pacientą informuoja, nurod</w:t>
            </w:r>
            <w:r>
              <w:rPr>
                <w:szCs w:val="24"/>
              </w:rPr>
              <w:t>ydami</w:t>
            </w:r>
            <w:r w:rsidRPr="004C11AD">
              <w:rPr>
                <w:szCs w:val="24"/>
              </w:rPr>
              <w:t xml:space="preserve"> bent 3 asmens sveikatos priežiūros įstaigas, kuriose teikiamos atitinkamos asmens sveikatos priežiūros paslaugos. </w:t>
            </w:r>
          </w:p>
          <w:p w14:paraId="3315FF1A" w14:textId="77777777" w:rsidR="00076676" w:rsidRPr="005C6A29" w:rsidRDefault="00076676" w:rsidP="004C11AD">
            <w:pPr>
              <w:spacing w:line="247" w:lineRule="auto"/>
              <w:ind w:left="7" w:right="25"/>
              <w:jc w:val="both"/>
              <w:rPr>
                <w:color w:val="FF0000"/>
                <w:kern w:val="2"/>
                <w:szCs w:val="24"/>
              </w:rPr>
            </w:pPr>
          </w:p>
        </w:tc>
      </w:tr>
      <w:tr w:rsidR="00076676" w14:paraId="5267029E" w14:textId="77777777" w:rsidTr="00E77849">
        <w:tc>
          <w:tcPr>
            <w:tcW w:w="696" w:type="dxa"/>
          </w:tcPr>
          <w:p w14:paraId="4E420D8D" w14:textId="77777777" w:rsidR="00076676" w:rsidRDefault="00471F1B">
            <w:pPr>
              <w:jc w:val="both"/>
              <w:rPr>
                <w:kern w:val="2"/>
                <w:szCs w:val="24"/>
              </w:rPr>
            </w:pPr>
            <w:bookmarkStart w:id="8" w:name="_Hlk192832590"/>
            <w:r>
              <w:rPr>
                <w:kern w:val="2"/>
                <w:szCs w:val="24"/>
              </w:rPr>
              <w:t>4.7.</w:t>
            </w:r>
          </w:p>
        </w:tc>
        <w:tc>
          <w:tcPr>
            <w:tcW w:w="4686" w:type="dxa"/>
          </w:tcPr>
          <w:p w14:paraId="570EB09D" w14:textId="4DDD1A33" w:rsidR="00076676" w:rsidRDefault="00471F1B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Vykdyti pirkimų stebėseną pagal tarptautinių ir supaprastintų viešųjų pirkimų rodiklius, skelbiamus VPT švieslentėje adresu https://vpt.lrv.lt/lt/statistika-ir-analize/pirkimu-vykdytoju-zemelapis-svieslente-1, ir a</w:t>
            </w:r>
            <w:r>
              <w:rPr>
                <w:color w:val="000000"/>
                <w:kern w:val="2"/>
                <w:szCs w:val="24"/>
              </w:rPr>
              <w:t>tlikti viešinamos informacijos analizę, o išvadas ir esant poreikiui siūlymus dėl pirkimų stebėsenos rodiklių tobulinimo, korupcijos prevencijos veiklos skaidrumo didinimo pateikti įstaigos vadovui ar jo įgaliotam asmeniui ne rečiau nei kart</w:t>
            </w:r>
            <w:r w:rsidR="00E500FC">
              <w:rPr>
                <w:color w:val="000000"/>
                <w:kern w:val="2"/>
                <w:szCs w:val="24"/>
              </w:rPr>
              <w:t>ą</w:t>
            </w:r>
            <w:r>
              <w:rPr>
                <w:color w:val="000000"/>
                <w:kern w:val="2"/>
                <w:szCs w:val="24"/>
              </w:rPr>
              <w:t xml:space="preserve"> metuose. </w:t>
            </w:r>
          </w:p>
        </w:tc>
        <w:tc>
          <w:tcPr>
            <w:tcW w:w="1576" w:type="dxa"/>
          </w:tcPr>
          <w:p w14:paraId="699A616E" w14:textId="34087988" w:rsidR="00076676" w:rsidRPr="005B2BB8" w:rsidRDefault="00071C46">
            <w:pPr>
              <w:jc w:val="both"/>
              <w:rPr>
                <w:kern w:val="2"/>
                <w:szCs w:val="24"/>
              </w:rPr>
            </w:pPr>
            <w:r w:rsidRPr="005B2BB8">
              <w:rPr>
                <w:kern w:val="2"/>
                <w:szCs w:val="24"/>
              </w:rPr>
              <w:t>Vyriausiasis buhalteris</w:t>
            </w:r>
          </w:p>
        </w:tc>
        <w:tc>
          <w:tcPr>
            <w:tcW w:w="1576" w:type="dxa"/>
          </w:tcPr>
          <w:p w14:paraId="76E10CC9" w14:textId="0EDCCDCB" w:rsidR="00076676" w:rsidRPr="005B2BB8" w:rsidRDefault="00F46907">
            <w:pPr>
              <w:jc w:val="both"/>
              <w:rPr>
                <w:kern w:val="2"/>
                <w:szCs w:val="24"/>
              </w:rPr>
            </w:pPr>
            <w:r w:rsidRPr="005B2BB8">
              <w:rPr>
                <w:kern w:val="2"/>
                <w:szCs w:val="24"/>
                <w:lang w:eastAsia="lt-LT"/>
              </w:rPr>
              <w:t>2024 m. IV ketv.</w:t>
            </w:r>
          </w:p>
        </w:tc>
        <w:tc>
          <w:tcPr>
            <w:tcW w:w="2235" w:type="dxa"/>
          </w:tcPr>
          <w:p w14:paraId="32B4621F" w14:textId="77777777" w:rsidR="00076676" w:rsidRDefault="00471F1B">
            <w:pPr>
              <w:ind w:hanging="3"/>
              <w:jc w:val="both"/>
              <w:rPr>
                <w:kern w:val="2"/>
                <w:szCs w:val="24"/>
                <w:lang w:eastAsia="en-GB"/>
              </w:rPr>
            </w:pPr>
            <w:r>
              <w:rPr>
                <w:color w:val="000000"/>
                <w:kern w:val="2"/>
                <w:szCs w:val="24"/>
              </w:rPr>
              <w:t xml:space="preserve">Skaidresni, efektyviau vykdomi viešieji pirkimai, užtikrinant </w:t>
            </w:r>
            <w:r>
              <w:rPr>
                <w:kern w:val="2"/>
                <w:szCs w:val="24"/>
                <w:lang w:eastAsia="en-GB"/>
              </w:rPr>
              <w:t xml:space="preserve">viešųjų pirkimų tikslą – racionaliai naudoti skirtas lėšas. </w:t>
            </w:r>
          </w:p>
          <w:p w14:paraId="4D2516B4" w14:textId="77777777" w:rsidR="00076676" w:rsidRDefault="00076676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3118" w:type="dxa"/>
          </w:tcPr>
          <w:p w14:paraId="3F1637C9" w14:textId="76DC9DEE" w:rsidR="00076676" w:rsidRDefault="005B2BB8">
            <w:pPr>
              <w:jc w:val="both"/>
              <w:rPr>
                <w:kern w:val="2"/>
                <w:szCs w:val="24"/>
              </w:rPr>
            </w:pPr>
            <w:r w:rsidRPr="005B2BB8">
              <w:t>Viešieji pirkimai administruojami per sistemą VIPIS. Įstaigos direktorius derina kiekvieną pirkimo poreikį, paraišką ir vykdymą.“</w:t>
            </w:r>
          </w:p>
        </w:tc>
      </w:tr>
      <w:bookmarkEnd w:id="8"/>
    </w:tbl>
    <w:p w14:paraId="09D60681" w14:textId="77777777" w:rsidR="00076676" w:rsidRDefault="00076676">
      <w:pPr>
        <w:tabs>
          <w:tab w:val="left" w:pos="426"/>
        </w:tabs>
        <w:jc w:val="both"/>
        <w:rPr>
          <w:bCs/>
          <w:szCs w:val="24"/>
        </w:rPr>
      </w:pPr>
    </w:p>
    <w:p w14:paraId="4BB4A357" w14:textId="77777777" w:rsidR="00076676" w:rsidRDefault="00471F1B" w:rsidP="00471F1B">
      <w:pPr>
        <w:tabs>
          <w:tab w:val="left" w:pos="426"/>
        </w:tabs>
        <w:ind w:firstLine="6521"/>
        <w:jc w:val="both"/>
        <w:rPr>
          <w:bCs/>
          <w:kern w:val="2"/>
          <w:sz w:val="22"/>
          <w:szCs w:val="22"/>
        </w:rPr>
      </w:pPr>
      <w:r>
        <w:rPr>
          <w:bCs/>
          <w:szCs w:val="24"/>
        </w:rPr>
        <w:t>____________________</w:t>
      </w:r>
    </w:p>
    <w:sectPr w:rsidR="00076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0" w:right="1812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7925C" w14:textId="77777777" w:rsidR="001F2CD7" w:rsidRDefault="001F2CD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endnote>
  <w:endnote w:type="continuationSeparator" w:id="0">
    <w:p w14:paraId="1774290F" w14:textId="77777777" w:rsidR="001F2CD7" w:rsidRDefault="001F2CD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125B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D35D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B896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29E1A" w14:textId="77777777" w:rsidR="001F2CD7" w:rsidRDefault="001F2CD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footnote>
  <w:footnote w:type="continuationSeparator" w:id="0">
    <w:p w14:paraId="4C43E79C" w14:textId="77777777" w:rsidR="001F2CD7" w:rsidRDefault="001F2CD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F15F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9A1E" w14:textId="77777777" w:rsidR="00076676" w:rsidRDefault="00471F1B">
    <w:pPr>
      <w:tabs>
        <w:tab w:val="center" w:pos="4819"/>
        <w:tab w:val="right" w:pos="9638"/>
      </w:tabs>
      <w:jc w:val="center"/>
      <w:rPr>
        <w:kern w:val="2"/>
        <w:sz w:val="22"/>
        <w:szCs w:val="22"/>
      </w:rPr>
    </w:pPr>
    <w:r>
      <w:rPr>
        <w:kern w:val="2"/>
        <w:sz w:val="22"/>
        <w:szCs w:val="22"/>
      </w:rPr>
      <w:fldChar w:fldCharType="begin"/>
    </w:r>
    <w:r>
      <w:rPr>
        <w:kern w:val="2"/>
        <w:sz w:val="22"/>
        <w:szCs w:val="22"/>
      </w:rPr>
      <w:instrText>PAGE   \* MERGEFORMAT</w:instrText>
    </w:r>
    <w:r>
      <w:rPr>
        <w:kern w:val="2"/>
        <w:sz w:val="22"/>
        <w:szCs w:val="22"/>
      </w:rPr>
      <w:fldChar w:fldCharType="separate"/>
    </w:r>
    <w:r>
      <w:rPr>
        <w:noProof/>
        <w:kern w:val="2"/>
        <w:sz w:val="22"/>
        <w:szCs w:val="22"/>
      </w:rPr>
      <w:t>17</w:t>
    </w:r>
    <w:r>
      <w:rPr>
        <w:kern w:val="2"/>
        <w:sz w:val="22"/>
        <w:szCs w:val="22"/>
      </w:rPr>
      <w:fldChar w:fldCharType="end"/>
    </w:r>
  </w:p>
  <w:p w14:paraId="79F23D06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5FCE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37"/>
    <w:rsid w:val="00071C46"/>
    <w:rsid w:val="00076676"/>
    <w:rsid w:val="001147B1"/>
    <w:rsid w:val="0011644C"/>
    <w:rsid w:val="0016577B"/>
    <w:rsid w:val="001740ED"/>
    <w:rsid w:val="00181895"/>
    <w:rsid w:val="001F2CD7"/>
    <w:rsid w:val="002201AB"/>
    <w:rsid w:val="002714B0"/>
    <w:rsid w:val="00292AB6"/>
    <w:rsid w:val="002C28A5"/>
    <w:rsid w:val="002F0998"/>
    <w:rsid w:val="00304985"/>
    <w:rsid w:val="00331819"/>
    <w:rsid w:val="003B1866"/>
    <w:rsid w:val="00432AA9"/>
    <w:rsid w:val="004379E4"/>
    <w:rsid w:val="004423A3"/>
    <w:rsid w:val="004500FB"/>
    <w:rsid w:val="00471F1B"/>
    <w:rsid w:val="004C11AD"/>
    <w:rsid w:val="004D354D"/>
    <w:rsid w:val="00504D58"/>
    <w:rsid w:val="005B2BB8"/>
    <w:rsid w:val="005C6A29"/>
    <w:rsid w:val="00637B33"/>
    <w:rsid w:val="00697FAA"/>
    <w:rsid w:val="006A30FD"/>
    <w:rsid w:val="006B52DD"/>
    <w:rsid w:val="006F2ACF"/>
    <w:rsid w:val="00724865"/>
    <w:rsid w:val="00760372"/>
    <w:rsid w:val="00784D92"/>
    <w:rsid w:val="007A0C91"/>
    <w:rsid w:val="007A7135"/>
    <w:rsid w:val="007C6517"/>
    <w:rsid w:val="007F37F7"/>
    <w:rsid w:val="008B70AC"/>
    <w:rsid w:val="008E5C19"/>
    <w:rsid w:val="009319DB"/>
    <w:rsid w:val="0095707E"/>
    <w:rsid w:val="00A07541"/>
    <w:rsid w:val="00A20564"/>
    <w:rsid w:val="00A42A72"/>
    <w:rsid w:val="00A47A2C"/>
    <w:rsid w:val="00A8460C"/>
    <w:rsid w:val="00AA11C4"/>
    <w:rsid w:val="00B24E7A"/>
    <w:rsid w:val="00B357EF"/>
    <w:rsid w:val="00BA12C0"/>
    <w:rsid w:val="00BF1692"/>
    <w:rsid w:val="00C04530"/>
    <w:rsid w:val="00C11CC2"/>
    <w:rsid w:val="00C339DB"/>
    <w:rsid w:val="00C5364E"/>
    <w:rsid w:val="00CA26A3"/>
    <w:rsid w:val="00CB71B7"/>
    <w:rsid w:val="00CB76DE"/>
    <w:rsid w:val="00CC483F"/>
    <w:rsid w:val="00CE13E9"/>
    <w:rsid w:val="00CE3F76"/>
    <w:rsid w:val="00DF1337"/>
    <w:rsid w:val="00E27501"/>
    <w:rsid w:val="00E500FC"/>
    <w:rsid w:val="00E77849"/>
    <w:rsid w:val="00E85689"/>
    <w:rsid w:val="00F46907"/>
    <w:rsid w:val="00F51499"/>
    <w:rsid w:val="00F71875"/>
    <w:rsid w:val="00F9226E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D681"/>
  <w15:chartTrackingRefBased/>
  <w15:docId w15:val="{B1C40C31-B1C5-40A2-B775-9BC949A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71F1B"/>
    <w:rPr>
      <w:color w:val="808080"/>
    </w:rPr>
  </w:style>
  <w:style w:type="character" w:styleId="Hipersaitas">
    <w:name w:val="Hyperlink"/>
    <w:basedOn w:val="Numatytasispastraiposriftas"/>
    <w:unhideWhenUsed/>
    <w:rsid w:val="005C6A2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C6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cvilkaviskis.lt/nemokamos-paslaugo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pcvilkaviskis.lt/apie-mu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spcvilkaviskis.lt/paramos-panaudojimo-ataskaito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sp.stat.gov.lt/pacientu-eil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spcvilkaviskis.lt/vidaus-tvarkos-taisykl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BBFA-AB89-4959-A0D8-E9E1ABC1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7826</Words>
  <Characters>4461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Neringa Lipskienė</dc:creator>
  <cp:lastModifiedBy>Ilona Antanaviciene</cp:lastModifiedBy>
  <cp:revision>15</cp:revision>
  <cp:lastPrinted>2025-03-19T07:23:00Z</cp:lastPrinted>
  <dcterms:created xsi:type="dcterms:W3CDTF">2025-03-12T12:27:00Z</dcterms:created>
  <dcterms:modified xsi:type="dcterms:W3CDTF">2025-03-20T11:22:00Z</dcterms:modified>
</cp:coreProperties>
</file>